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9D62" w14:textId="77777777" w:rsidR="003C1BE5" w:rsidRPr="0034798F" w:rsidRDefault="003C1BE5" w:rsidP="00A01059">
      <w:pPr>
        <w:pStyle w:val="Default"/>
        <w:jc w:val="both"/>
        <w:rPr>
          <w:rFonts w:asciiTheme="majorHAnsi" w:hAnsiTheme="majorHAnsi"/>
        </w:rPr>
      </w:pPr>
    </w:p>
    <w:p w14:paraId="70775E96" w14:textId="77777777" w:rsidR="003C1BE5" w:rsidRPr="0034798F" w:rsidRDefault="003C1BE5" w:rsidP="00A01059">
      <w:pPr>
        <w:pStyle w:val="Default"/>
        <w:jc w:val="center"/>
        <w:rPr>
          <w:rFonts w:asciiTheme="majorHAnsi" w:hAnsiTheme="majorHAnsi"/>
        </w:rPr>
      </w:pPr>
      <w:r w:rsidRPr="0034798F">
        <w:rPr>
          <w:rFonts w:asciiTheme="majorHAnsi" w:hAnsiTheme="majorHAnsi"/>
          <w:b/>
          <w:bCs/>
        </w:rPr>
        <w:t>Ordnung der Ethikkommission</w:t>
      </w:r>
    </w:p>
    <w:p w14:paraId="2E74A438" w14:textId="77777777" w:rsidR="003C1BE5" w:rsidRPr="0034798F" w:rsidRDefault="0038262B" w:rsidP="00A01059">
      <w:pPr>
        <w:pStyle w:val="Default"/>
        <w:jc w:val="center"/>
        <w:rPr>
          <w:rFonts w:asciiTheme="majorHAnsi" w:hAnsiTheme="majorHAnsi"/>
        </w:rPr>
      </w:pPr>
      <w:r w:rsidRPr="0034798F">
        <w:rPr>
          <w:rFonts w:asciiTheme="majorHAnsi" w:hAnsiTheme="majorHAnsi"/>
          <w:b/>
          <w:bCs/>
        </w:rPr>
        <w:t>d</w:t>
      </w:r>
      <w:r w:rsidR="003C1BE5" w:rsidRPr="0034798F">
        <w:rPr>
          <w:rFonts w:asciiTheme="majorHAnsi" w:hAnsiTheme="majorHAnsi"/>
          <w:b/>
          <w:bCs/>
        </w:rPr>
        <w:t>es Fachbereichs Sozialwissenschaften, Medien und Sport der Johannes Gutenberg-Universität Mainz</w:t>
      </w:r>
    </w:p>
    <w:p w14:paraId="4BCCB868" w14:textId="77777777" w:rsidR="00692995" w:rsidRDefault="003C1BE5" w:rsidP="00A01059">
      <w:pPr>
        <w:pStyle w:val="Default"/>
        <w:jc w:val="center"/>
        <w:rPr>
          <w:rFonts w:asciiTheme="majorHAnsi" w:hAnsiTheme="majorHAnsi"/>
          <w:bCs/>
          <w:sz w:val="22"/>
          <w:szCs w:val="22"/>
        </w:rPr>
      </w:pPr>
      <w:r w:rsidRPr="00F16154">
        <w:rPr>
          <w:rFonts w:asciiTheme="majorHAnsi" w:hAnsiTheme="majorHAnsi"/>
          <w:bCs/>
          <w:sz w:val="22"/>
          <w:szCs w:val="22"/>
        </w:rPr>
        <w:t>(</w:t>
      </w:r>
      <w:r w:rsidR="00C0075F">
        <w:rPr>
          <w:rFonts w:asciiTheme="majorHAnsi" w:hAnsiTheme="majorHAnsi"/>
          <w:bCs/>
          <w:sz w:val="22"/>
          <w:szCs w:val="22"/>
        </w:rPr>
        <w:t>vom Fachbereichsrat am 3. Juni 2015 beschlossen</w:t>
      </w:r>
    </w:p>
    <w:p w14:paraId="0EBB482C" w14:textId="77777777" w:rsidR="00C12E2E" w:rsidRDefault="00692995" w:rsidP="00A01059">
      <w:pPr>
        <w:pStyle w:val="Default"/>
        <w:jc w:val="center"/>
        <w:rPr>
          <w:rFonts w:asciiTheme="majorHAnsi" w:hAnsiTheme="majorHAnsi"/>
          <w:bCs/>
          <w:sz w:val="22"/>
          <w:szCs w:val="22"/>
        </w:rPr>
      </w:pPr>
      <w:r>
        <w:rPr>
          <w:rFonts w:asciiTheme="majorHAnsi" w:hAnsiTheme="majorHAnsi"/>
          <w:bCs/>
          <w:sz w:val="22"/>
          <w:szCs w:val="22"/>
        </w:rPr>
        <w:t>geändert vom FBR am 26.10.2016</w:t>
      </w:r>
    </w:p>
    <w:p w14:paraId="07CB533D" w14:textId="4770FD7E" w:rsidR="003C1BE5" w:rsidRPr="00F16154" w:rsidRDefault="00C12E2E" w:rsidP="00A01059">
      <w:pPr>
        <w:pStyle w:val="Default"/>
        <w:jc w:val="center"/>
        <w:rPr>
          <w:rFonts w:asciiTheme="majorHAnsi" w:hAnsiTheme="majorHAnsi"/>
          <w:bCs/>
          <w:sz w:val="22"/>
          <w:szCs w:val="22"/>
        </w:rPr>
      </w:pPr>
      <w:r>
        <w:rPr>
          <w:rFonts w:asciiTheme="majorHAnsi" w:hAnsiTheme="majorHAnsi"/>
          <w:bCs/>
          <w:sz w:val="22"/>
          <w:szCs w:val="22"/>
        </w:rPr>
        <w:t>geändert vom FBR am 20.07.2022</w:t>
      </w:r>
      <w:r w:rsidR="003C1BE5" w:rsidRPr="00F16154">
        <w:rPr>
          <w:rFonts w:asciiTheme="majorHAnsi" w:hAnsiTheme="majorHAnsi"/>
          <w:bCs/>
          <w:sz w:val="22"/>
          <w:szCs w:val="22"/>
        </w:rPr>
        <w:t>)</w:t>
      </w:r>
    </w:p>
    <w:p w14:paraId="1E44FC64" w14:textId="77777777" w:rsidR="00A01059" w:rsidRDefault="00A01059" w:rsidP="00A01059">
      <w:pPr>
        <w:pStyle w:val="Default"/>
        <w:jc w:val="both"/>
        <w:rPr>
          <w:rFonts w:asciiTheme="majorHAnsi" w:hAnsiTheme="majorHAnsi"/>
        </w:rPr>
      </w:pPr>
    </w:p>
    <w:p w14:paraId="579348C4" w14:textId="54B99C4B" w:rsidR="00A01059" w:rsidRDefault="00A01059" w:rsidP="00A01059">
      <w:pPr>
        <w:pStyle w:val="Default"/>
        <w:jc w:val="both"/>
        <w:rPr>
          <w:rFonts w:asciiTheme="majorHAnsi" w:hAnsiTheme="majorHAnsi"/>
        </w:rPr>
      </w:pPr>
    </w:p>
    <w:p w14:paraId="6FADDB0F" w14:textId="77777777" w:rsidR="00C12E2E" w:rsidRPr="0034798F" w:rsidRDefault="00C12E2E" w:rsidP="00A01059">
      <w:pPr>
        <w:pStyle w:val="Default"/>
        <w:jc w:val="both"/>
        <w:rPr>
          <w:rFonts w:asciiTheme="majorHAnsi" w:hAnsiTheme="majorHAnsi"/>
        </w:rPr>
      </w:pPr>
    </w:p>
    <w:p w14:paraId="485B6922" w14:textId="77777777" w:rsidR="003C1BE5" w:rsidRPr="0034798F" w:rsidRDefault="00A01059" w:rsidP="00A01059">
      <w:pPr>
        <w:pStyle w:val="Default"/>
        <w:jc w:val="both"/>
        <w:rPr>
          <w:rFonts w:asciiTheme="majorHAnsi" w:hAnsiTheme="majorHAnsi"/>
        </w:rPr>
      </w:pPr>
      <w:r>
        <w:rPr>
          <w:rFonts w:asciiTheme="majorHAnsi" w:hAnsiTheme="majorHAnsi"/>
          <w:b/>
          <w:bCs/>
        </w:rPr>
        <w:t>Präamb</w:t>
      </w:r>
      <w:r w:rsidR="005163D8">
        <w:rPr>
          <w:rFonts w:asciiTheme="majorHAnsi" w:hAnsiTheme="majorHAnsi"/>
          <w:b/>
          <w:bCs/>
        </w:rPr>
        <w:t>el</w:t>
      </w:r>
    </w:p>
    <w:p w14:paraId="75DD26B3" w14:textId="77777777" w:rsidR="00EC4299" w:rsidRDefault="00EC4299" w:rsidP="00A01059">
      <w:pPr>
        <w:pStyle w:val="Default"/>
        <w:jc w:val="both"/>
        <w:rPr>
          <w:rFonts w:asciiTheme="majorHAnsi" w:hAnsiTheme="majorHAnsi"/>
        </w:rPr>
      </w:pPr>
      <w:r w:rsidRPr="00EC4299">
        <w:rPr>
          <w:rFonts w:asciiTheme="majorHAnsi" w:hAnsiTheme="majorHAnsi"/>
        </w:rPr>
        <w:t>Sozialwissenschaftliche Forschung ist häufig auf die Teilnahme von Menschen an empirischen Studien angewiesen. Dabei sind sich die Forscherinnen und Forscher ihrer besondere</w:t>
      </w:r>
      <w:r>
        <w:rPr>
          <w:rFonts w:asciiTheme="majorHAnsi" w:hAnsiTheme="majorHAnsi"/>
        </w:rPr>
        <w:t>n</w:t>
      </w:r>
      <w:r w:rsidRPr="00EC4299">
        <w:rPr>
          <w:rFonts w:asciiTheme="majorHAnsi" w:hAnsiTheme="majorHAnsi"/>
        </w:rPr>
        <w:t xml:space="preserve"> Rolle in ihrer Beziehung zu den Probanden bewusst. Um die Würde und Integrität der an Forschungsprozessen teilnehmenden Menschen zu gewähren, sind </w:t>
      </w:r>
      <w:r w:rsidR="00555728">
        <w:rPr>
          <w:rFonts w:asciiTheme="majorHAnsi" w:hAnsiTheme="majorHAnsi"/>
        </w:rPr>
        <w:t>g</w:t>
      </w:r>
      <w:r w:rsidRPr="00EC4299">
        <w:rPr>
          <w:rFonts w:asciiTheme="majorHAnsi" w:hAnsiTheme="majorHAnsi"/>
        </w:rPr>
        <w:t>eeignete Maßnahmen zu</w:t>
      </w:r>
      <w:r>
        <w:rPr>
          <w:rFonts w:asciiTheme="majorHAnsi" w:hAnsiTheme="majorHAnsi"/>
        </w:rPr>
        <w:t xml:space="preserve"> </w:t>
      </w:r>
      <w:r w:rsidRPr="00EC4299">
        <w:rPr>
          <w:rFonts w:asciiTheme="majorHAnsi" w:hAnsiTheme="majorHAnsi"/>
        </w:rPr>
        <w:t xml:space="preserve">ergreifen. Der Fachbereich Sozialwissenschaften, Medien und Sport der Johannes Gutenberg-Universität Mainz </w:t>
      </w:r>
      <w:r w:rsidR="000C681C">
        <w:rPr>
          <w:rFonts w:asciiTheme="majorHAnsi" w:hAnsiTheme="majorHAnsi"/>
        </w:rPr>
        <w:t xml:space="preserve">(im Weiteren: Fachbereich 02) </w:t>
      </w:r>
      <w:r w:rsidRPr="00EC4299">
        <w:rPr>
          <w:rFonts w:asciiTheme="majorHAnsi" w:hAnsiTheme="majorHAnsi"/>
        </w:rPr>
        <w:t xml:space="preserve">bestellt </w:t>
      </w:r>
      <w:r w:rsidR="000C681C">
        <w:rPr>
          <w:rFonts w:asciiTheme="majorHAnsi" w:hAnsiTheme="majorHAnsi"/>
        </w:rPr>
        <w:t xml:space="preserve">daher </w:t>
      </w:r>
      <w:r w:rsidRPr="00EC4299">
        <w:rPr>
          <w:rFonts w:asciiTheme="majorHAnsi" w:hAnsiTheme="majorHAnsi"/>
        </w:rPr>
        <w:t>eine Ethikkommission</w:t>
      </w:r>
      <w:r w:rsidR="00A01059">
        <w:rPr>
          <w:rFonts w:asciiTheme="majorHAnsi" w:hAnsiTheme="majorHAnsi"/>
        </w:rPr>
        <w:t xml:space="preserve">, deren Aufgabe es ist, ethische Belange sozialwissenschaftlicher Forschung am Fachbereich einzuschätzen. Empfohlen wird, den </w:t>
      </w:r>
      <w:r w:rsidR="00555728" w:rsidRPr="00EC4299">
        <w:rPr>
          <w:rFonts w:asciiTheme="majorHAnsi" w:hAnsiTheme="majorHAnsi"/>
        </w:rPr>
        <w:t xml:space="preserve">Beginn jeder </w:t>
      </w:r>
      <w:r w:rsidR="00A01059">
        <w:rPr>
          <w:rFonts w:asciiTheme="majorHAnsi" w:hAnsiTheme="majorHAnsi"/>
        </w:rPr>
        <w:t xml:space="preserve">sozialwissenschaftlichen </w:t>
      </w:r>
      <w:r w:rsidR="00555728" w:rsidRPr="00EC4299">
        <w:rPr>
          <w:rFonts w:asciiTheme="majorHAnsi" w:hAnsiTheme="majorHAnsi"/>
        </w:rPr>
        <w:t xml:space="preserve">Forschung </w:t>
      </w:r>
      <w:r w:rsidR="00555728" w:rsidRPr="00BA66C8">
        <w:rPr>
          <w:rFonts w:asciiTheme="majorHAnsi" w:hAnsiTheme="majorHAnsi"/>
          <w:i/>
        </w:rPr>
        <w:t>am Menschen</w:t>
      </w:r>
      <w:r w:rsidR="00555728" w:rsidRPr="00EC4299">
        <w:rPr>
          <w:rFonts w:asciiTheme="majorHAnsi" w:hAnsiTheme="majorHAnsi"/>
        </w:rPr>
        <w:t xml:space="preserve"> an eine positive Beurteilung durch </w:t>
      </w:r>
      <w:r w:rsidR="00A01059">
        <w:rPr>
          <w:rFonts w:asciiTheme="majorHAnsi" w:hAnsiTheme="majorHAnsi"/>
        </w:rPr>
        <w:t xml:space="preserve">die </w:t>
      </w:r>
      <w:r w:rsidR="00555728" w:rsidRPr="00EC4299">
        <w:rPr>
          <w:rFonts w:asciiTheme="majorHAnsi" w:hAnsiTheme="majorHAnsi"/>
        </w:rPr>
        <w:t xml:space="preserve">Ethikkommission </w:t>
      </w:r>
      <w:r w:rsidR="00A01059">
        <w:rPr>
          <w:rFonts w:asciiTheme="majorHAnsi" w:hAnsiTheme="majorHAnsi"/>
        </w:rPr>
        <w:t>zu binden. D</w:t>
      </w:r>
      <w:r w:rsidRPr="00EC4299">
        <w:rPr>
          <w:rFonts w:asciiTheme="majorHAnsi" w:hAnsiTheme="majorHAnsi"/>
        </w:rPr>
        <w:t xml:space="preserve">ie Kommission unterstützt </w:t>
      </w:r>
      <w:r w:rsidR="00C553B3">
        <w:rPr>
          <w:rFonts w:asciiTheme="majorHAnsi" w:hAnsiTheme="majorHAnsi"/>
        </w:rPr>
        <w:t xml:space="preserve">daher </w:t>
      </w:r>
      <w:r w:rsidRPr="00EC4299">
        <w:rPr>
          <w:rFonts w:asciiTheme="majorHAnsi" w:hAnsiTheme="majorHAnsi"/>
        </w:rPr>
        <w:t xml:space="preserve">durch ihre Beratung </w:t>
      </w:r>
      <w:r w:rsidR="00C553B3">
        <w:rPr>
          <w:rFonts w:asciiTheme="majorHAnsi" w:hAnsiTheme="majorHAnsi"/>
        </w:rPr>
        <w:t xml:space="preserve">und Empfehlung die Forschung </w:t>
      </w:r>
      <w:r w:rsidRPr="00EC4299">
        <w:rPr>
          <w:rFonts w:asciiTheme="majorHAnsi" w:hAnsiTheme="majorHAnsi"/>
        </w:rPr>
        <w:t>a</w:t>
      </w:r>
      <w:r w:rsidR="00C553B3">
        <w:rPr>
          <w:rFonts w:asciiTheme="majorHAnsi" w:hAnsiTheme="majorHAnsi"/>
        </w:rPr>
        <w:t xml:space="preserve">m </w:t>
      </w:r>
      <w:r w:rsidRPr="00EC4299">
        <w:rPr>
          <w:rFonts w:asciiTheme="majorHAnsi" w:hAnsiTheme="majorHAnsi"/>
        </w:rPr>
        <w:t>Fachbereich</w:t>
      </w:r>
      <w:r w:rsidR="00C553B3">
        <w:rPr>
          <w:rFonts w:asciiTheme="majorHAnsi" w:hAnsiTheme="majorHAnsi"/>
        </w:rPr>
        <w:t xml:space="preserve"> 02; sie hat </w:t>
      </w:r>
      <w:r w:rsidRPr="00EC4299">
        <w:rPr>
          <w:rFonts w:asciiTheme="majorHAnsi" w:hAnsiTheme="majorHAnsi"/>
        </w:rPr>
        <w:t xml:space="preserve">die Aufgabe, bei der Durchführung von </w:t>
      </w:r>
      <w:r w:rsidRPr="00C553B3">
        <w:rPr>
          <w:rFonts w:asciiTheme="majorHAnsi" w:hAnsiTheme="majorHAnsi"/>
          <w:i/>
        </w:rPr>
        <w:t>Forschungsvorhaben am Menschen</w:t>
      </w:r>
      <w:r w:rsidRPr="00EC4299">
        <w:rPr>
          <w:rFonts w:asciiTheme="majorHAnsi" w:hAnsiTheme="majorHAnsi"/>
        </w:rPr>
        <w:t xml:space="preserve"> eine Hilfe bei der Beurteilung ethischer Gesichtspunkte zu geben. Davon unberüh</w:t>
      </w:r>
      <w:r>
        <w:rPr>
          <w:rFonts w:asciiTheme="majorHAnsi" w:hAnsiTheme="majorHAnsi"/>
        </w:rPr>
        <w:t>r</w:t>
      </w:r>
      <w:r w:rsidRPr="00EC4299">
        <w:rPr>
          <w:rFonts w:asciiTheme="majorHAnsi" w:hAnsiTheme="majorHAnsi"/>
        </w:rPr>
        <w:t xml:space="preserve">t bleibt jedoch die prinzipielle Verantwortung jeder Forscherin bzw. jedes Forschers für die Durchführung </w:t>
      </w:r>
      <w:r w:rsidR="006B3FFD">
        <w:rPr>
          <w:rFonts w:asciiTheme="majorHAnsi" w:hAnsiTheme="majorHAnsi"/>
        </w:rPr>
        <w:t>ihres</w:t>
      </w:r>
      <w:r w:rsidR="00ED1735">
        <w:rPr>
          <w:rFonts w:asciiTheme="majorHAnsi" w:hAnsiTheme="majorHAnsi"/>
        </w:rPr>
        <w:t xml:space="preserve"> oder </w:t>
      </w:r>
      <w:r w:rsidRPr="00EC4299">
        <w:rPr>
          <w:rFonts w:asciiTheme="majorHAnsi" w:hAnsiTheme="majorHAnsi"/>
        </w:rPr>
        <w:t>seines Forschungsvorhabens.</w:t>
      </w:r>
      <w:r w:rsidR="00C553B3">
        <w:rPr>
          <w:rFonts w:asciiTheme="majorHAnsi" w:hAnsiTheme="majorHAnsi"/>
        </w:rPr>
        <w:t xml:space="preserve"> </w:t>
      </w:r>
    </w:p>
    <w:p w14:paraId="402289B4" w14:textId="77777777" w:rsidR="00EC4299" w:rsidRDefault="00EC4299" w:rsidP="00A01059">
      <w:pPr>
        <w:pStyle w:val="Default"/>
        <w:jc w:val="both"/>
        <w:rPr>
          <w:rFonts w:asciiTheme="majorHAnsi" w:hAnsiTheme="majorHAnsi"/>
        </w:rPr>
      </w:pPr>
    </w:p>
    <w:p w14:paraId="08098ECB" w14:textId="77777777" w:rsidR="003C1BE5" w:rsidRPr="0034798F" w:rsidRDefault="005163D8" w:rsidP="000C681C">
      <w:pPr>
        <w:pStyle w:val="Default"/>
        <w:tabs>
          <w:tab w:val="left" w:pos="624"/>
        </w:tabs>
        <w:spacing w:after="120"/>
        <w:jc w:val="both"/>
        <w:rPr>
          <w:rFonts w:asciiTheme="majorHAnsi" w:hAnsiTheme="majorHAnsi"/>
        </w:rPr>
      </w:pPr>
      <w:r>
        <w:rPr>
          <w:rFonts w:asciiTheme="majorHAnsi" w:hAnsiTheme="majorHAnsi"/>
          <w:b/>
          <w:bCs/>
        </w:rPr>
        <w:t>§ 1</w:t>
      </w:r>
      <w:r w:rsidR="003C1BE5" w:rsidRPr="0034798F">
        <w:rPr>
          <w:rFonts w:asciiTheme="majorHAnsi" w:hAnsiTheme="majorHAnsi"/>
          <w:b/>
          <w:bCs/>
        </w:rPr>
        <w:t xml:space="preserve"> </w:t>
      </w:r>
      <w:r w:rsidR="000C681C">
        <w:rPr>
          <w:rFonts w:asciiTheme="majorHAnsi" w:hAnsiTheme="majorHAnsi"/>
          <w:b/>
          <w:bCs/>
        </w:rPr>
        <w:tab/>
      </w:r>
      <w:r w:rsidR="003C1BE5" w:rsidRPr="0034798F">
        <w:rPr>
          <w:rFonts w:asciiTheme="majorHAnsi" w:hAnsiTheme="majorHAnsi"/>
          <w:b/>
          <w:bCs/>
        </w:rPr>
        <w:t xml:space="preserve">Zuständigkeit </w:t>
      </w:r>
    </w:p>
    <w:p w14:paraId="71B7B166" w14:textId="77777777" w:rsidR="003C1BE5" w:rsidRPr="0034798F" w:rsidRDefault="00D44B31" w:rsidP="00D44B31">
      <w:pPr>
        <w:pStyle w:val="Default"/>
        <w:spacing w:after="120"/>
        <w:ind w:left="624" w:hanging="340"/>
        <w:jc w:val="both"/>
        <w:rPr>
          <w:rFonts w:asciiTheme="majorHAnsi" w:hAnsiTheme="majorHAnsi"/>
        </w:rPr>
      </w:pPr>
      <w:r>
        <w:rPr>
          <w:rFonts w:asciiTheme="majorHAnsi" w:hAnsiTheme="majorHAnsi"/>
        </w:rPr>
        <w:t>1</w:t>
      </w:r>
      <w:r w:rsidR="003C1BE5" w:rsidRPr="0034798F">
        <w:rPr>
          <w:rFonts w:asciiTheme="majorHAnsi" w:hAnsiTheme="majorHAnsi"/>
        </w:rPr>
        <w:t xml:space="preserve">. </w:t>
      </w:r>
      <w:r w:rsidR="00555728">
        <w:rPr>
          <w:rFonts w:asciiTheme="majorHAnsi" w:hAnsiTheme="majorHAnsi"/>
        </w:rPr>
        <w:tab/>
      </w:r>
      <w:r w:rsidR="003C1BE5" w:rsidRPr="0034798F">
        <w:rPr>
          <w:rFonts w:asciiTheme="majorHAnsi" w:hAnsiTheme="majorHAnsi"/>
        </w:rPr>
        <w:t xml:space="preserve">Die Kommission wird im Auftrag des Fachbereichs </w:t>
      </w:r>
      <w:r w:rsidR="006B3FFD">
        <w:rPr>
          <w:rFonts w:asciiTheme="majorHAnsi" w:hAnsiTheme="majorHAnsi"/>
        </w:rPr>
        <w:t>02 eingerichtet.</w:t>
      </w:r>
    </w:p>
    <w:p w14:paraId="2F1D83FA" w14:textId="4F38B5E3" w:rsidR="003C1BE5" w:rsidRPr="0034798F" w:rsidRDefault="00D44B31" w:rsidP="00C12E2E">
      <w:pPr>
        <w:pStyle w:val="Default"/>
        <w:spacing w:after="120"/>
        <w:ind w:left="624" w:hanging="340"/>
        <w:rPr>
          <w:rFonts w:asciiTheme="majorHAnsi" w:hAnsiTheme="majorHAnsi"/>
        </w:rPr>
      </w:pPr>
      <w:r>
        <w:rPr>
          <w:rFonts w:asciiTheme="majorHAnsi" w:hAnsiTheme="majorHAnsi"/>
        </w:rPr>
        <w:t>2</w:t>
      </w:r>
      <w:r w:rsidR="003C1BE5" w:rsidRPr="0034798F">
        <w:rPr>
          <w:rFonts w:asciiTheme="majorHAnsi" w:hAnsiTheme="majorHAnsi"/>
        </w:rPr>
        <w:t xml:space="preserve">. </w:t>
      </w:r>
      <w:r w:rsidR="00555728">
        <w:rPr>
          <w:rFonts w:asciiTheme="majorHAnsi" w:hAnsiTheme="majorHAnsi"/>
        </w:rPr>
        <w:tab/>
      </w:r>
      <w:r w:rsidR="00C12E2E" w:rsidRPr="00C12E2E">
        <w:rPr>
          <w:rFonts w:asciiTheme="majorHAnsi" w:hAnsiTheme="majorHAnsi"/>
        </w:rPr>
        <w:t xml:space="preserve">Die Kommission gewährt Wissenschaftlerinnen und Wissenschaftlern des Fachbereichs 02 Hilfe und Beratung in Bezug auf ethische Aspekte ihrer geplanten Forschung am und mit Menschen. </w:t>
      </w:r>
      <w:r w:rsidR="00C12E2E" w:rsidRPr="00C12E2E">
        <w:rPr>
          <w:rFonts w:asciiTheme="majorHAnsi" w:hAnsiTheme="majorHAnsi"/>
        </w:rPr>
        <w:br/>
        <w:t xml:space="preserve">Die Kommission erstellt auf Antrag von Wissenschaftlerinnen bzw. Wissenschaftlern des FB 02 ein Ethikvotum. Die antragstellenden Wissenschaftlerinnen und Wissenschaftler müssen promovieren bzw. bereits promoviert sein. Sie müssen inhaltlich für das Forschungsprojekt verantwortlich sein und dementsprechend in den geplanten Publikationen und eventuellen Förderanträgen als </w:t>
      </w:r>
      <w:proofErr w:type="spellStart"/>
      <w:r w:rsidR="00C12E2E" w:rsidRPr="00C12E2E">
        <w:rPr>
          <w:rFonts w:asciiTheme="majorHAnsi" w:hAnsiTheme="majorHAnsi"/>
        </w:rPr>
        <w:t>HauptautorInnen</w:t>
      </w:r>
      <w:proofErr w:type="spellEnd"/>
      <w:r w:rsidR="00C12E2E" w:rsidRPr="00C12E2E">
        <w:rPr>
          <w:rFonts w:asciiTheme="majorHAnsi" w:hAnsiTheme="majorHAnsi"/>
        </w:rPr>
        <w:t xml:space="preserve"> bzw. </w:t>
      </w:r>
      <w:proofErr w:type="spellStart"/>
      <w:r w:rsidR="00C12E2E" w:rsidRPr="00C12E2E">
        <w:rPr>
          <w:rFonts w:asciiTheme="majorHAnsi" w:hAnsiTheme="majorHAnsi"/>
        </w:rPr>
        <w:t>PrimärforscherInnen</w:t>
      </w:r>
      <w:proofErr w:type="spellEnd"/>
      <w:r w:rsidR="00C12E2E" w:rsidRPr="00C12E2E">
        <w:rPr>
          <w:rFonts w:asciiTheme="majorHAnsi" w:hAnsiTheme="majorHAnsi"/>
        </w:rPr>
        <w:t xml:space="preserve"> in Erscheinung treten. Der Dekan bzw. die Dekanin des Fachbereichs 02 kann sich durch die Ethikkommission beraten lassen.</w:t>
      </w:r>
    </w:p>
    <w:p w14:paraId="1A5CD348" w14:textId="77777777" w:rsidR="003C1BE5" w:rsidRDefault="00D44B31" w:rsidP="006B3FFD">
      <w:pPr>
        <w:pStyle w:val="Default"/>
        <w:spacing w:after="120"/>
        <w:ind w:left="624" w:hanging="340"/>
        <w:jc w:val="both"/>
        <w:rPr>
          <w:rFonts w:asciiTheme="majorHAnsi" w:hAnsiTheme="majorHAnsi"/>
        </w:rPr>
      </w:pPr>
      <w:r>
        <w:rPr>
          <w:rFonts w:asciiTheme="majorHAnsi" w:hAnsiTheme="majorHAnsi"/>
        </w:rPr>
        <w:t>3</w:t>
      </w:r>
      <w:r w:rsidR="003C1BE5" w:rsidRPr="0034798F">
        <w:rPr>
          <w:rFonts w:asciiTheme="majorHAnsi" w:hAnsiTheme="majorHAnsi"/>
        </w:rPr>
        <w:t xml:space="preserve">. </w:t>
      </w:r>
      <w:r w:rsidR="00555728">
        <w:rPr>
          <w:rFonts w:asciiTheme="majorHAnsi" w:hAnsiTheme="majorHAnsi"/>
        </w:rPr>
        <w:tab/>
      </w:r>
      <w:r w:rsidR="006B3FFD">
        <w:rPr>
          <w:rFonts w:asciiTheme="majorHAnsi" w:hAnsiTheme="majorHAnsi"/>
        </w:rPr>
        <w:t xml:space="preserve">In </w:t>
      </w:r>
      <w:r w:rsidR="003C1BE5" w:rsidRPr="0034798F">
        <w:rPr>
          <w:rFonts w:asciiTheme="majorHAnsi" w:hAnsiTheme="majorHAnsi"/>
        </w:rPr>
        <w:t>Fälle</w:t>
      </w:r>
      <w:r w:rsidR="006B3FFD">
        <w:rPr>
          <w:rFonts w:asciiTheme="majorHAnsi" w:hAnsiTheme="majorHAnsi"/>
        </w:rPr>
        <w:t>n</w:t>
      </w:r>
      <w:r w:rsidR="003C1BE5" w:rsidRPr="0034798F">
        <w:rPr>
          <w:rFonts w:asciiTheme="majorHAnsi" w:hAnsiTheme="majorHAnsi"/>
        </w:rPr>
        <w:t>, deren Beurteilung die fachliche (medizinische</w:t>
      </w:r>
      <w:r w:rsidR="00AA59DC">
        <w:rPr>
          <w:rFonts w:asciiTheme="majorHAnsi" w:hAnsiTheme="majorHAnsi"/>
        </w:rPr>
        <w:t xml:space="preserve"> bzw. rechtliche</w:t>
      </w:r>
      <w:r w:rsidR="003C1BE5" w:rsidRPr="0034798F">
        <w:rPr>
          <w:rFonts w:asciiTheme="majorHAnsi" w:hAnsiTheme="majorHAnsi"/>
        </w:rPr>
        <w:t>) Kompetenz der Ethikkommission</w:t>
      </w:r>
      <w:r w:rsidR="006B3FFD">
        <w:rPr>
          <w:rFonts w:asciiTheme="majorHAnsi" w:hAnsiTheme="majorHAnsi"/>
        </w:rPr>
        <w:t xml:space="preserve"> des Fachbereichs 02 überschreiten, kann sich die Ethikkommission für nicht zuständig erklären und Empfehlungen für andere Ethikkommissionen aussprechen.</w:t>
      </w:r>
      <w:r w:rsidR="003C1BE5" w:rsidRPr="0034798F">
        <w:rPr>
          <w:rFonts w:asciiTheme="majorHAnsi" w:hAnsiTheme="majorHAnsi"/>
        </w:rPr>
        <w:t xml:space="preserve"> </w:t>
      </w:r>
    </w:p>
    <w:p w14:paraId="7622333D" w14:textId="77777777" w:rsidR="001B64B2" w:rsidRDefault="001B64B2" w:rsidP="00692995">
      <w:pPr>
        <w:pStyle w:val="Default"/>
        <w:spacing w:after="120"/>
        <w:ind w:left="624" w:hanging="340"/>
        <w:rPr>
          <w:rFonts w:asciiTheme="majorHAnsi" w:hAnsiTheme="majorHAnsi"/>
        </w:rPr>
      </w:pPr>
      <w:r>
        <w:rPr>
          <w:rFonts w:asciiTheme="majorHAnsi" w:hAnsiTheme="majorHAnsi"/>
        </w:rPr>
        <w:t xml:space="preserve">4. </w:t>
      </w:r>
      <w:r>
        <w:rPr>
          <w:rFonts w:asciiTheme="majorHAnsi" w:hAnsiTheme="majorHAnsi"/>
        </w:rPr>
        <w:tab/>
        <w:t>Die Kommission gibt sich eine Geschäftsordnung.</w:t>
      </w:r>
      <w:r w:rsidR="00692995">
        <w:rPr>
          <w:rFonts w:asciiTheme="majorHAnsi" w:hAnsiTheme="majorHAnsi"/>
        </w:rPr>
        <w:br/>
      </w:r>
    </w:p>
    <w:p w14:paraId="1914B34F" w14:textId="77777777" w:rsidR="00692995" w:rsidRPr="0034798F" w:rsidRDefault="00692995" w:rsidP="006B3FFD">
      <w:pPr>
        <w:pStyle w:val="Default"/>
        <w:spacing w:after="120"/>
        <w:ind w:left="624" w:hanging="340"/>
        <w:jc w:val="both"/>
        <w:rPr>
          <w:rFonts w:asciiTheme="majorHAnsi" w:hAnsiTheme="majorHAnsi"/>
        </w:rPr>
      </w:pPr>
      <w:r>
        <w:rPr>
          <w:rFonts w:asciiTheme="majorHAnsi" w:hAnsiTheme="majorHAnsi"/>
        </w:rPr>
        <w:t xml:space="preserve">5. </w:t>
      </w:r>
      <w:r>
        <w:rPr>
          <w:rFonts w:asciiTheme="majorHAnsi" w:hAnsiTheme="majorHAnsi"/>
        </w:rPr>
        <w:tab/>
      </w:r>
      <w:r w:rsidRPr="00692995">
        <w:rPr>
          <w:rFonts w:asciiTheme="majorHAnsi" w:hAnsiTheme="majorHAnsi"/>
        </w:rPr>
        <w:t>Ein positives Ethikvotum des FB 02 ersetzt nicht ein positives Ethikvotum einer Ethikkommission am Ort der Durchführung des Forschungsvorhabens (z.B. bei Durchfüh</w:t>
      </w:r>
      <w:r w:rsidRPr="00692995">
        <w:rPr>
          <w:rFonts w:asciiTheme="majorHAnsi" w:hAnsiTheme="majorHAnsi"/>
        </w:rPr>
        <w:lastRenderedPageBreak/>
        <w:t>rungen der Forschung in einem anderen Land mit strengeren Auflagen). Antragstellende sind verantwortlich dafür, sich zu erkundigen, ob eine solche zusätzliche Bewilligung am Ort der Durchführung erforderlich ist.</w:t>
      </w:r>
    </w:p>
    <w:p w14:paraId="4A2F92D3" w14:textId="77777777" w:rsidR="003C1BE5" w:rsidRPr="0034798F" w:rsidRDefault="003C1BE5" w:rsidP="00A01059">
      <w:pPr>
        <w:pStyle w:val="Default"/>
        <w:jc w:val="both"/>
        <w:rPr>
          <w:rFonts w:asciiTheme="majorHAnsi" w:hAnsiTheme="majorHAnsi"/>
        </w:rPr>
      </w:pPr>
    </w:p>
    <w:p w14:paraId="1E207A2D" w14:textId="77777777" w:rsidR="003C1BE5" w:rsidRPr="0034798F" w:rsidRDefault="005163D8" w:rsidP="000C681C">
      <w:pPr>
        <w:pStyle w:val="Default"/>
        <w:tabs>
          <w:tab w:val="left" w:pos="624"/>
        </w:tabs>
        <w:spacing w:after="120"/>
        <w:jc w:val="both"/>
        <w:rPr>
          <w:rFonts w:asciiTheme="majorHAnsi" w:hAnsiTheme="majorHAnsi"/>
        </w:rPr>
      </w:pPr>
      <w:r>
        <w:rPr>
          <w:rFonts w:asciiTheme="majorHAnsi" w:hAnsiTheme="majorHAnsi"/>
          <w:b/>
          <w:bCs/>
        </w:rPr>
        <w:t>§ 2</w:t>
      </w:r>
      <w:r w:rsidR="003C1BE5" w:rsidRPr="0034798F">
        <w:rPr>
          <w:rFonts w:asciiTheme="majorHAnsi" w:hAnsiTheme="majorHAnsi"/>
          <w:b/>
          <w:bCs/>
        </w:rPr>
        <w:t xml:space="preserve"> </w:t>
      </w:r>
      <w:r w:rsidR="000C681C">
        <w:rPr>
          <w:rFonts w:asciiTheme="majorHAnsi" w:hAnsiTheme="majorHAnsi"/>
          <w:b/>
          <w:bCs/>
        </w:rPr>
        <w:tab/>
      </w:r>
      <w:r w:rsidR="003C1BE5" w:rsidRPr="0034798F">
        <w:rPr>
          <w:rFonts w:asciiTheme="majorHAnsi" w:hAnsiTheme="majorHAnsi"/>
          <w:b/>
          <w:bCs/>
        </w:rPr>
        <w:t xml:space="preserve">Zusammensetzung </w:t>
      </w:r>
    </w:p>
    <w:p w14:paraId="5EFBDBCD" w14:textId="77777777" w:rsidR="0034798F" w:rsidRPr="0034798F" w:rsidRDefault="00D44B31" w:rsidP="00D44B31">
      <w:pPr>
        <w:pStyle w:val="Default"/>
        <w:spacing w:after="120"/>
        <w:ind w:left="624" w:hanging="340"/>
        <w:jc w:val="both"/>
        <w:rPr>
          <w:rFonts w:asciiTheme="majorHAnsi" w:hAnsiTheme="majorHAnsi"/>
        </w:rPr>
      </w:pPr>
      <w:r>
        <w:rPr>
          <w:rFonts w:asciiTheme="majorHAnsi" w:hAnsiTheme="majorHAnsi"/>
        </w:rPr>
        <w:t>1</w:t>
      </w:r>
      <w:r w:rsidR="003C1BE5" w:rsidRPr="0034798F">
        <w:rPr>
          <w:rFonts w:asciiTheme="majorHAnsi" w:hAnsiTheme="majorHAnsi"/>
        </w:rPr>
        <w:t xml:space="preserve">. </w:t>
      </w:r>
      <w:r w:rsidR="00555728">
        <w:rPr>
          <w:rFonts w:asciiTheme="majorHAnsi" w:hAnsiTheme="majorHAnsi"/>
        </w:rPr>
        <w:tab/>
        <w:t xml:space="preserve">Die Institute Erziehungswissenschaft, Politikwissenschaft, Publizistik, Soziologie und Sportwissenschaft bestimmen </w:t>
      </w:r>
      <w:r w:rsidR="00555728" w:rsidRPr="00F367A2">
        <w:rPr>
          <w:rFonts w:asciiTheme="majorHAnsi" w:hAnsiTheme="majorHAnsi"/>
        </w:rPr>
        <w:t>jeweils ein Mitglied der Ethikkommission</w:t>
      </w:r>
      <w:r w:rsidR="00F367A2">
        <w:rPr>
          <w:rFonts w:asciiTheme="majorHAnsi" w:hAnsiTheme="majorHAnsi"/>
        </w:rPr>
        <w:t>, die Gruppen 2 und 3 schlagen jeweils zwei Mitglieder vor.</w:t>
      </w:r>
      <w:r w:rsidR="00555728">
        <w:rPr>
          <w:rFonts w:asciiTheme="majorHAnsi" w:hAnsiTheme="majorHAnsi"/>
        </w:rPr>
        <w:t xml:space="preserve"> Das Psychologische Institut entsendet kein Mitglied, da es eine eigene Ethikkommission eingerichtet hat. Der Prodekan</w:t>
      </w:r>
      <w:r w:rsidR="00ED1735">
        <w:rPr>
          <w:rFonts w:asciiTheme="majorHAnsi" w:hAnsiTheme="majorHAnsi"/>
        </w:rPr>
        <w:t xml:space="preserve"> bzw. die Prodekanin</w:t>
      </w:r>
      <w:r w:rsidR="00555728">
        <w:rPr>
          <w:rFonts w:asciiTheme="majorHAnsi" w:hAnsiTheme="majorHAnsi"/>
        </w:rPr>
        <w:t xml:space="preserve"> für Forschung ist Mitglied der Kommission. </w:t>
      </w:r>
      <w:r w:rsidR="00C553B3">
        <w:rPr>
          <w:rFonts w:asciiTheme="majorHAnsi" w:hAnsiTheme="majorHAnsi"/>
        </w:rPr>
        <w:t xml:space="preserve">Die Ethikkommission wählt den Vorsitzenden </w:t>
      </w:r>
      <w:r w:rsidR="00ED1735">
        <w:rPr>
          <w:rFonts w:asciiTheme="majorHAnsi" w:hAnsiTheme="majorHAnsi"/>
        </w:rPr>
        <w:t xml:space="preserve">oder die Vorsitzende </w:t>
      </w:r>
      <w:r w:rsidR="00692995" w:rsidRPr="00692995">
        <w:rPr>
          <w:rFonts w:asciiTheme="majorHAnsi" w:hAnsiTheme="majorHAnsi"/>
        </w:rPr>
        <w:t>und eine stellvertretende Vorsitzende oder einen stellvertretenden Vorsitzenden</w:t>
      </w:r>
      <w:r w:rsidR="00692995">
        <w:rPr>
          <w:rFonts w:asciiTheme="majorHAnsi" w:hAnsiTheme="majorHAnsi"/>
        </w:rPr>
        <w:t xml:space="preserve"> </w:t>
      </w:r>
      <w:r w:rsidR="00C553B3">
        <w:rPr>
          <w:rFonts w:asciiTheme="majorHAnsi" w:hAnsiTheme="majorHAnsi"/>
        </w:rPr>
        <w:t xml:space="preserve">aus ihrer Mitte. </w:t>
      </w:r>
      <w:r w:rsidR="0038262B" w:rsidRPr="0034798F">
        <w:rPr>
          <w:rFonts w:asciiTheme="majorHAnsi" w:hAnsiTheme="majorHAnsi"/>
        </w:rPr>
        <w:t xml:space="preserve">Die Ethikkommission kann bei Bedarf weitere sachkundige </w:t>
      </w:r>
      <w:r w:rsidR="00ED1735">
        <w:rPr>
          <w:rFonts w:asciiTheme="majorHAnsi" w:hAnsiTheme="majorHAnsi"/>
        </w:rPr>
        <w:t xml:space="preserve">Expertinnen und </w:t>
      </w:r>
      <w:r w:rsidR="0038262B" w:rsidRPr="0034798F">
        <w:rPr>
          <w:rFonts w:asciiTheme="majorHAnsi" w:hAnsiTheme="majorHAnsi"/>
        </w:rPr>
        <w:t xml:space="preserve">Experten zur Entscheidungsfindung </w:t>
      </w:r>
      <w:r w:rsidR="00316288">
        <w:rPr>
          <w:rFonts w:asciiTheme="majorHAnsi" w:hAnsiTheme="majorHAnsi"/>
        </w:rPr>
        <w:t xml:space="preserve">beratend </w:t>
      </w:r>
      <w:r w:rsidR="0038262B" w:rsidRPr="0034798F">
        <w:rPr>
          <w:rFonts w:asciiTheme="majorHAnsi" w:hAnsiTheme="majorHAnsi"/>
        </w:rPr>
        <w:t>hinzuziehen, vor allem wenn es um datenschutzrechtliche oder juristische Problemstellung</w:t>
      </w:r>
      <w:r w:rsidR="006B3FFD">
        <w:rPr>
          <w:rFonts w:asciiTheme="majorHAnsi" w:hAnsiTheme="majorHAnsi"/>
        </w:rPr>
        <w:t>en</w:t>
      </w:r>
      <w:r w:rsidR="0038262B" w:rsidRPr="0034798F">
        <w:rPr>
          <w:rFonts w:asciiTheme="majorHAnsi" w:hAnsiTheme="majorHAnsi"/>
        </w:rPr>
        <w:t xml:space="preserve"> geht.</w:t>
      </w:r>
      <w:r w:rsidR="00F054D1">
        <w:rPr>
          <w:rFonts w:asciiTheme="majorHAnsi" w:hAnsiTheme="majorHAnsi"/>
        </w:rPr>
        <w:t xml:space="preserve"> Die Kommission ist beschlussfähig, wenn mehr als die Hälfte der stimmberechtigten Mitglieder anwesend ist.</w:t>
      </w:r>
    </w:p>
    <w:p w14:paraId="7F2C1DF0" w14:textId="77777777" w:rsidR="003C1BE5" w:rsidRDefault="00D44B31" w:rsidP="00A01059">
      <w:pPr>
        <w:pStyle w:val="Default"/>
        <w:spacing w:after="120"/>
        <w:ind w:left="624" w:hanging="340"/>
        <w:jc w:val="both"/>
        <w:rPr>
          <w:rFonts w:asciiTheme="majorHAnsi" w:hAnsiTheme="majorHAnsi"/>
        </w:rPr>
      </w:pPr>
      <w:r>
        <w:rPr>
          <w:rFonts w:asciiTheme="majorHAnsi" w:hAnsiTheme="majorHAnsi"/>
        </w:rPr>
        <w:t>2</w:t>
      </w:r>
      <w:r w:rsidR="0034798F" w:rsidRPr="0034798F">
        <w:rPr>
          <w:rFonts w:asciiTheme="majorHAnsi" w:hAnsiTheme="majorHAnsi"/>
        </w:rPr>
        <w:t>.</w:t>
      </w:r>
      <w:r w:rsidR="0034798F" w:rsidRPr="0034798F">
        <w:rPr>
          <w:rFonts w:asciiTheme="majorHAnsi" w:hAnsiTheme="majorHAnsi"/>
        </w:rPr>
        <w:tab/>
        <w:t xml:space="preserve">Die Ethikkommission und ihre Mitglieder sind bei der Wahrung ihrer Aufgaben unabhängig und nicht an Weisungen gebunden. Sie sind nur ihrem Gewissen </w:t>
      </w:r>
      <w:r w:rsidR="00AF7924">
        <w:rPr>
          <w:rFonts w:asciiTheme="majorHAnsi" w:hAnsiTheme="majorHAnsi"/>
        </w:rPr>
        <w:t xml:space="preserve">gegenüber </w:t>
      </w:r>
      <w:r w:rsidR="0034798F" w:rsidRPr="0034798F">
        <w:rPr>
          <w:rFonts w:asciiTheme="majorHAnsi" w:hAnsiTheme="majorHAnsi"/>
        </w:rPr>
        <w:t>verantwortlich.</w:t>
      </w:r>
    </w:p>
    <w:p w14:paraId="5A85718D" w14:textId="77777777" w:rsidR="00093B79" w:rsidRDefault="00093B79" w:rsidP="00093B79">
      <w:pPr>
        <w:pStyle w:val="Default"/>
        <w:ind w:left="624" w:hanging="340"/>
        <w:jc w:val="both"/>
        <w:rPr>
          <w:rFonts w:asciiTheme="majorHAnsi" w:hAnsiTheme="majorHAnsi"/>
        </w:rPr>
      </w:pPr>
    </w:p>
    <w:p w14:paraId="4C6227AE" w14:textId="77777777" w:rsidR="00A73443" w:rsidRPr="0034798F" w:rsidRDefault="00C553B3" w:rsidP="000C681C">
      <w:pPr>
        <w:tabs>
          <w:tab w:val="left" w:pos="624"/>
        </w:tabs>
        <w:spacing w:after="120" w:line="240" w:lineRule="auto"/>
        <w:jc w:val="both"/>
        <w:rPr>
          <w:rFonts w:asciiTheme="majorHAnsi" w:hAnsiTheme="majorHAnsi"/>
          <w:b/>
          <w:szCs w:val="24"/>
        </w:rPr>
      </w:pPr>
      <w:r>
        <w:rPr>
          <w:rFonts w:asciiTheme="majorHAnsi" w:hAnsiTheme="majorHAnsi"/>
          <w:b/>
          <w:szCs w:val="24"/>
        </w:rPr>
        <w:t>§ 3</w:t>
      </w:r>
      <w:r w:rsidR="0038262B" w:rsidRPr="0034798F">
        <w:rPr>
          <w:rFonts w:asciiTheme="majorHAnsi" w:hAnsiTheme="majorHAnsi"/>
          <w:b/>
          <w:szCs w:val="24"/>
        </w:rPr>
        <w:t xml:space="preserve"> </w:t>
      </w:r>
      <w:r w:rsidR="000C681C">
        <w:rPr>
          <w:rFonts w:asciiTheme="majorHAnsi" w:hAnsiTheme="majorHAnsi"/>
          <w:b/>
          <w:szCs w:val="24"/>
        </w:rPr>
        <w:tab/>
      </w:r>
      <w:r w:rsidR="0038262B" w:rsidRPr="0034798F">
        <w:rPr>
          <w:rFonts w:asciiTheme="majorHAnsi" w:hAnsiTheme="majorHAnsi"/>
          <w:b/>
          <w:szCs w:val="24"/>
        </w:rPr>
        <w:t>Aufgaben</w:t>
      </w:r>
    </w:p>
    <w:p w14:paraId="6C9928E8" w14:textId="77777777" w:rsidR="0038262B" w:rsidRPr="0034798F" w:rsidRDefault="0038262B" w:rsidP="00D44B31">
      <w:pPr>
        <w:spacing w:after="120" w:line="240" w:lineRule="auto"/>
        <w:jc w:val="both"/>
        <w:rPr>
          <w:rFonts w:asciiTheme="majorHAnsi" w:hAnsiTheme="majorHAnsi"/>
          <w:szCs w:val="24"/>
        </w:rPr>
      </w:pPr>
      <w:r w:rsidRPr="0034798F">
        <w:rPr>
          <w:rFonts w:asciiTheme="majorHAnsi" w:hAnsiTheme="majorHAnsi"/>
          <w:szCs w:val="24"/>
        </w:rPr>
        <w:t>Die Ethikko</w:t>
      </w:r>
      <w:r w:rsidR="006B3FFD">
        <w:rPr>
          <w:rFonts w:asciiTheme="majorHAnsi" w:hAnsiTheme="majorHAnsi"/>
          <w:szCs w:val="24"/>
        </w:rPr>
        <w:t xml:space="preserve">mmission </w:t>
      </w:r>
      <w:proofErr w:type="spellStart"/>
      <w:r w:rsidR="006B3FFD">
        <w:rPr>
          <w:rFonts w:asciiTheme="majorHAnsi" w:hAnsiTheme="majorHAnsi"/>
          <w:szCs w:val="24"/>
        </w:rPr>
        <w:t>prüft</w:t>
      </w:r>
      <w:proofErr w:type="spellEnd"/>
      <w:r w:rsidR="006B3FFD">
        <w:rPr>
          <w:rFonts w:asciiTheme="majorHAnsi" w:hAnsiTheme="majorHAnsi"/>
          <w:szCs w:val="24"/>
        </w:rPr>
        <w:t xml:space="preserve"> insbesondere,</w:t>
      </w:r>
    </w:p>
    <w:p w14:paraId="4AC33F4C" w14:textId="77777777" w:rsidR="0038262B" w:rsidRPr="00EC4299" w:rsidRDefault="006B3FFD" w:rsidP="00C553B3">
      <w:pPr>
        <w:pStyle w:val="Listenabsatz"/>
        <w:numPr>
          <w:ilvl w:val="0"/>
          <w:numId w:val="11"/>
        </w:numPr>
        <w:spacing w:after="0" w:line="240" w:lineRule="auto"/>
        <w:ind w:left="624" w:hanging="340"/>
        <w:contextualSpacing w:val="0"/>
        <w:jc w:val="both"/>
        <w:rPr>
          <w:rFonts w:asciiTheme="majorHAnsi" w:hAnsiTheme="majorHAnsi"/>
          <w:szCs w:val="24"/>
        </w:rPr>
      </w:pPr>
      <w:r>
        <w:rPr>
          <w:rFonts w:asciiTheme="majorHAnsi" w:hAnsiTheme="majorHAnsi"/>
          <w:szCs w:val="24"/>
        </w:rPr>
        <w:t xml:space="preserve">ob </w:t>
      </w:r>
      <w:r w:rsidR="0038262B" w:rsidRPr="00EC4299">
        <w:rPr>
          <w:rFonts w:asciiTheme="majorHAnsi" w:hAnsiTheme="majorHAnsi"/>
          <w:szCs w:val="24"/>
        </w:rPr>
        <w:t>alle</w:t>
      </w:r>
      <w:r w:rsidR="00F74C4C">
        <w:rPr>
          <w:rFonts w:asciiTheme="majorHAnsi" w:hAnsiTheme="majorHAnsi"/>
          <w:szCs w:val="24"/>
        </w:rPr>
        <w:t xml:space="preserve"> verhältnismäßigen</w:t>
      </w:r>
      <w:r w:rsidR="0038262B" w:rsidRPr="00EC4299">
        <w:rPr>
          <w:rFonts w:asciiTheme="majorHAnsi" w:hAnsiTheme="majorHAnsi"/>
          <w:szCs w:val="24"/>
        </w:rPr>
        <w:t xml:space="preserve"> Vorkehrungen zur Minimierung des Pro</w:t>
      </w:r>
      <w:r w:rsidR="00C553B3">
        <w:rPr>
          <w:rFonts w:asciiTheme="majorHAnsi" w:hAnsiTheme="majorHAnsi"/>
          <w:szCs w:val="24"/>
        </w:rPr>
        <w:t>banden-Risikos getroffen wurden;</w:t>
      </w:r>
    </w:p>
    <w:p w14:paraId="3F60198E" w14:textId="77777777" w:rsidR="0038262B" w:rsidRPr="00EC4299" w:rsidRDefault="006B3FFD" w:rsidP="00C553B3">
      <w:pPr>
        <w:pStyle w:val="Listenabsatz"/>
        <w:numPr>
          <w:ilvl w:val="0"/>
          <w:numId w:val="11"/>
        </w:numPr>
        <w:spacing w:after="0" w:line="240" w:lineRule="auto"/>
        <w:ind w:left="624" w:hanging="340"/>
        <w:contextualSpacing w:val="0"/>
        <w:jc w:val="both"/>
        <w:rPr>
          <w:rFonts w:asciiTheme="majorHAnsi" w:hAnsiTheme="majorHAnsi"/>
          <w:szCs w:val="24"/>
        </w:rPr>
      </w:pPr>
      <w:r>
        <w:rPr>
          <w:rFonts w:asciiTheme="majorHAnsi" w:hAnsiTheme="majorHAnsi"/>
          <w:szCs w:val="24"/>
        </w:rPr>
        <w:t xml:space="preserve">ob </w:t>
      </w:r>
      <w:r w:rsidR="0038262B" w:rsidRPr="00EC4299">
        <w:rPr>
          <w:rFonts w:asciiTheme="majorHAnsi" w:hAnsiTheme="majorHAnsi"/>
          <w:szCs w:val="24"/>
        </w:rPr>
        <w:t>ein angemessenes Verhältnis zwischen Nutzen und Risiken des Vorhabens</w:t>
      </w:r>
      <w:r w:rsidR="0034798F" w:rsidRPr="00EC4299">
        <w:rPr>
          <w:rFonts w:asciiTheme="majorHAnsi" w:hAnsiTheme="majorHAnsi"/>
          <w:szCs w:val="24"/>
        </w:rPr>
        <w:t xml:space="preserve"> </w:t>
      </w:r>
      <w:r w:rsidR="00C553B3">
        <w:rPr>
          <w:rFonts w:asciiTheme="majorHAnsi" w:hAnsiTheme="majorHAnsi"/>
          <w:szCs w:val="24"/>
        </w:rPr>
        <w:t>besteht;</w:t>
      </w:r>
    </w:p>
    <w:p w14:paraId="64C13958" w14:textId="77777777" w:rsidR="0038262B" w:rsidRPr="00EC4299" w:rsidRDefault="006B3FFD" w:rsidP="00C553B3">
      <w:pPr>
        <w:pStyle w:val="Listenabsatz"/>
        <w:numPr>
          <w:ilvl w:val="0"/>
          <w:numId w:val="11"/>
        </w:numPr>
        <w:spacing w:after="0" w:line="240" w:lineRule="auto"/>
        <w:ind w:left="624" w:hanging="340"/>
        <w:contextualSpacing w:val="0"/>
        <w:jc w:val="both"/>
        <w:rPr>
          <w:rFonts w:asciiTheme="majorHAnsi" w:hAnsiTheme="majorHAnsi"/>
          <w:szCs w:val="24"/>
        </w:rPr>
      </w:pPr>
      <w:r>
        <w:rPr>
          <w:rFonts w:asciiTheme="majorHAnsi" w:hAnsiTheme="majorHAnsi"/>
          <w:szCs w:val="24"/>
        </w:rPr>
        <w:t xml:space="preserve">ob </w:t>
      </w:r>
      <w:r w:rsidR="0038262B" w:rsidRPr="00EC4299">
        <w:rPr>
          <w:rFonts w:asciiTheme="majorHAnsi" w:hAnsiTheme="majorHAnsi"/>
          <w:szCs w:val="24"/>
        </w:rPr>
        <w:t xml:space="preserve">die Einwilligung der </w:t>
      </w:r>
      <w:r w:rsidR="00ED1735">
        <w:rPr>
          <w:rFonts w:asciiTheme="majorHAnsi" w:hAnsiTheme="majorHAnsi"/>
          <w:szCs w:val="24"/>
        </w:rPr>
        <w:t xml:space="preserve">Probandinnen und </w:t>
      </w:r>
      <w:r w:rsidR="0038262B" w:rsidRPr="00EC4299">
        <w:rPr>
          <w:rFonts w:asciiTheme="majorHAnsi" w:hAnsiTheme="majorHAnsi"/>
          <w:szCs w:val="24"/>
        </w:rPr>
        <w:t>Probanden bzw. ihrer gesetzlichen Vertreter hinreichend</w:t>
      </w:r>
      <w:r w:rsidR="0034798F" w:rsidRPr="00EC4299">
        <w:rPr>
          <w:rFonts w:asciiTheme="majorHAnsi" w:hAnsiTheme="majorHAnsi"/>
          <w:szCs w:val="24"/>
        </w:rPr>
        <w:t xml:space="preserve"> </w:t>
      </w:r>
      <w:r w:rsidR="00C553B3">
        <w:rPr>
          <w:rFonts w:asciiTheme="majorHAnsi" w:hAnsiTheme="majorHAnsi"/>
          <w:szCs w:val="24"/>
        </w:rPr>
        <w:t>belegt ist;</w:t>
      </w:r>
    </w:p>
    <w:p w14:paraId="63C1E039" w14:textId="77777777" w:rsidR="0038262B" w:rsidRPr="00EC4299" w:rsidRDefault="00D44B31" w:rsidP="00C553B3">
      <w:pPr>
        <w:pStyle w:val="Listenabsatz"/>
        <w:numPr>
          <w:ilvl w:val="0"/>
          <w:numId w:val="11"/>
        </w:numPr>
        <w:spacing w:after="0" w:line="240" w:lineRule="auto"/>
        <w:ind w:left="624" w:hanging="340"/>
        <w:contextualSpacing w:val="0"/>
        <w:jc w:val="both"/>
        <w:rPr>
          <w:rFonts w:asciiTheme="majorHAnsi" w:hAnsiTheme="majorHAnsi"/>
          <w:szCs w:val="24"/>
        </w:rPr>
      </w:pPr>
      <w:r>
        <w:rPr>
          <w:rFonts w:asciiTheme="majorHAnsi" w:hAnsiTheme="majorHAnsi"/>
          <w:szCs w:val="24"/>
        </w:rPr>
        <w:t>ob</w:t>
      </w:r>
      <w:r w:rsidR="006B3FFD">
        <w:rPr>
          <w:rFonts w:asciiTheme="majorHAnsi" w:hAnsiTheme="majorHAnsi"/>
          <w:szCs w:val="24"/>
        </w:rPr>
        <w:t xml:space="preserve"> – sofern erforderlich – </w:t>
      </w:r>
      <w:r>
        <w:rPr>
          <w:rFonts w:asciiTheme="majorHAnsi" w:hAnsiTheme="majorHAnsi"/>
          <w:szCs w:val="24"/>
        </w:rPr>
        <w:t xml:space="preserve">die </w:t>
      </w:r>
      <w:r w:rsidR="0038262B" w:rsidRPr="00EC4299">
        <w:rPr>
          <w:rFonts w:asciiTheme="majorHAnsi" w:hAnsiTheme="majorHAnsi"/>
          <w:szCs w:val="24"/>
        </w:rPr>
        <w:t xml:space="preserve">Bestimmungen </w:t>
      </w:r>
      <w:r w:rsidR="00C553B3">
        <w:rPr>
          <w:rFonts w:asciiTheme="majorHAnsi" w:hAnsiTheme="majorHAnsi"/>
          <w:szCs w:val="24"/>
        </w:rPr>
        <w:t>zum Datenschutz</w:t>
      </w:r>
      <w:r>
        <w:rPr>
          <w:rFonts w:asciiTheme="majorHAnsi" w:hAnsiTheme="majorHAnsi"/>
          <w:szCs w:val="24"/>
        </w:rPr>
        <w:t xml:space="preserve"> </w:t>
      </w:r>
      <w:r w:rsidR="00AA59DC">
        <w:rPr>
          <w:rFonts w:asciiTheme="majorHAnsi" w:hAnsiTheme="majorHAnsi"/>
          <w:szCs w:val="24"/>
        </w:rPr>
        <w:t xml:space="preserve">im Antrag </w:t>
      </w:r>
      <w:r>
        <w:rPr>
          <w:rFonts w:asciiTheme="majorHAnsi" w:hAnsiTheme="majorHAnsi"/>
          <w:szCs w:val="24"/>
        </w:rPr>
        <w:t xml:space="preserve">berücksichtigt worden sind; </w:t>
      </w:r>
    </w:p>
    <w:p w14:paraId="1FC3E332" w14:textId="77777777" w:rsidR="0034798F" w:rsidRDefault="0038262B" w:rsidP="00C553B3">
      <w:pPr>
        <w:pStyle w:val="Listenabsatz"/>
        <w:numPr>
          <w:ilvl w:val="0"/>
          <w:numId w:val="11"/>
        </w:numPr>
        <w:spacing w:after="120" w:line="240" w:lineRule="auto"/>
        <w:ind w:left="624" w:hanging="340"/>
        <w:contextualSpacing w:val="0"/>
        <w:jc w:val="both"/>
        <w:rPr>
          <w:rFonts w:asciiTheme="majorHAnsi" w:hAnsiTheme="majorHAnsi"/>
          <w:szCs w:val="24"/>
        </w:rPr>
      </w:pPr>
      <w:r w:rsidRPr="00EC4299">
        <w:rPr>
          <w:rFonts w:asciiTheme="majorHAnsi" w:hAnsiTheme="majorHAnsi"/>
          <w:szCs w:val="24"/>
        </w:rPr>
        <w:t xml:space="preserve">ob die Anträge an die Kommission </w:t>
      </w:r>
      <w:r w:rsidR="0034798F" w:rsidRPr="00EC4299">
        <w:rPr>
          <w:rFonts w:asciiTheme="majorHAnsi" w:hAnsiTheme="majorHAnsi"/>
          <w:szCs w:val="24"/>
        </w:rPr>
        <w:t>die verlangten Angaben enthalten.</w:t>
      </w:r>
    </w:p>
    <w:p w14:paraId="38EFABA3" w14:textId="77777777" w:rsidR="008A1E70" w:rsidRDefault="008A1E70" w:rsidP="00093B79">
      <w:pPr>
        <w:pStyle w:val="Listenabsatz"/>
        <w:numPr>
          <w:ilvl w:val="0"/>
          <w:numId w:val="0"/>
        </w:numPr>
        <w:spacing w:after="120" w:line="240" w:lineRule="auto"/>
        <w:contextualSpacing w:val="0"/>
        <w:jc w:val="both"/>
        <w:rPr>
          <w:rFonts w:asciiTheme="majorHAnsi" w:hAnsiTheme="majorHAnsi"/>
          <w:szCs w:val="24"/>
        </w:rPr>
      </w:pPr>
      <w:r>
        <w:rPr>
          <w:rFonts w:asciiTheme="majorHAnsi" w:hAnsiTheme="majorHAnsi"/>
          <w:szCs w:val="24"/>
        </w:rPr>
        <w:t>Die Kommission gibt nach Prüfung des Antrags eine schriftliche Stellungnahme ab.</w:t>
      </w:r>
    </w:p>
    <w:p w14:paraId="5D986813" w14:textId="77777777" w:rsidR="008A1E70" w:rsidRDefault="008A1E70" w:rsidP="00C553B3">
      <w:pPr>
        <w:pStyle w:val="Listenabsatz"/>
        <w:numPr>
          <w:ilvl w:val="0"/>
          <w:numId w:val="0"/>
        </w:numPr>
        <w:spacing w:after="0" w:line="240" w:lineRule="auto"/>
        <w:contextualSpacing w:val="0"/>
        <w:jc w:val="both"/>
        <w:rPr>
          <w:rFonts w:asciiTheme="majorHAnsi" w:hAnsiTheme="majorHAnsi"/>
          <w:szCs w:val="24"/>
        </w:rPr>
      </w:pPr>
    </w:p>
    <w:p w14:paraId="3ADD9544" w14:textId="77777777" w:rsidR="0034798F" w:rsidRPr="0034798F" w:rsidRDefault="0034798F" w:rsidP="000C681C">
      <w:pPr>
        <w:pStyle w:val="Default"/>
        <w:tabs>
          <w:tab w:val="left" w:pos="624"/>
        </w:tabs>
        <w:spacing w:after="120"/>
        <w:jc w:val="both"/>
        <w:rPr>
          <w:rFonts w:asciiTheme="majorHAnsi" w:hAnsiTheme="majorHAnsi"/>
        </w:rPr>
      </w:pPr>
      <w:r w:rsidRPr="0034798F">
        <w:rPr>
          <w:rFonts w:asciiTheme="majorHAnsi" w:hAnsiTheme="majorHAnsi"/>
          <w:b/>
          <w:bCs/>
        </w:rPr>
        <w:t xml:space="preserve">§ </w:t>
      </w:r>
      <w:r w:rsidR="00D44B31">
        <w:rPr>
          <w:rFonts w:asciiTheme="majorHAnsi" w:hAnsiTheme="majorHAnsi"/>
          <w:b/>
          <w:bCs/>
        </w:rPr>
        <w:t>4</w:t>
      </w:r>
      <w:r w:rsidRPr="0034798F">
        <w:rPr>
          <w:rFonts w:asciiTheme="majorHAnsi" w:hAnsiTheme="majorHAnsi"/>
          <w:b/>
          <w:bCs/>
        </w:rPr>
        <w:t xml:space="preserve"> </w:t>
      </w:r>
      <w:r w:rsidR="000C681C">
        <w:rPr>
          <w:rFonts w:asciiTheme="majorHAnsi" w:hAnsiTheme="majorHAnsi"/>
          <w:b/>
          <w:bCs/>
        </w:rPr>
        <w:tab/>
      </w:r>
      <w:r w:rsidRPr="0034798F">
        <w:rPr>
          <w:rFonts w:asciiTheme="majorHAnsi" w:hAnsiTheme="majorHAnsi"/>
          <w:b/>
          <w:bCs/>
        </w:rPr>
        <w:t xml:space="preserve">Antragstellung </w:t>
      </w:r>
      <w:r w:rsidR="00C553B3">
        <w:rPr>
          <w:rFonts w:asciiTheme="majorHAnsi" w:hAnsiTheme="majorHAnsi"/>
          <w:b/>
          <w:bCs/>
        </w:rPr>
        <w:tab/>
      </w:r>
    </w:p>
    <w:p w14:paraId="61B42EEA" w14:textId="77777777" w:rsidR="0034798F" w:rsidRPr="0034798F" w:rsidRDefault="00D44B31" w:rsidP="00D44B31">
      <w:pPr>
        <w:pStyle w:val="Default"/>
        <w:spacing w:after="120"/>
        <w:ind w:left="624" w:hanging="340"/>
        <w:jc w:val="both"/>
        <w:rPr>
          <w:rFonts w:asciiTheme="majorHAnsi" w:hAnsiTheme="majorHAnsi"/>
        </w:rPr>
      </w:pPr>
      <w:r>
        <w:rPr>
          <w:rFonts w:asciiTheme="majorHAnsi" w:hAnsiTheme="majorHAnsi"/>
        </w:rPr>
        <w:t>1.</w:t>
      </w:r>
      <w:r>
        <w:rPr>
          <w:rFonts w:asciiTheme="majorHAnsi" w:hAnsiTheme="majorHAnsi"/>
        </w:rPr>
        <w:tab/>
        <w:t>D</w:t>
      </w:r>
      <w:r w:rsidR="0034798F" w:rsidRPr="0034798F">
        <w:rPr>
          <w:rFonts w:asciiTheme="majorHAnsi" w:hAnsiTheme="majorHAnsi"/>
        </w:rPr>
        <w:t xml:space="preserve">ie Begutachtung eines Forschungsprojekts erfolgt </w:t>
      </w:r>
      <w:r w:rsidR="00093B79">
        <w:rPr>
          <w:rFonts w:asciiTheme="majorHAnsi" w:hAnsiTheme="majorHAnsi"/>
        </w:rPr>
        <w:t xml:space="preserve">ausschließlich </w:t>
      </w:r>
      <w:r w:rsidR="0034798F" w:rsidRPr="0034798F">
        <w:rPr>
          <w:rFonts w:asciiTheme="majorHAnsi" w:hAnsiTheme="majorHAnsi"/>
        </w:rPr>
        <w:t>auf Antrag des</w:t>
      </w:r>
      <w:r w:rsidR="00ED1735">
        <w:rPr>
          <w:rFonts w:asciiTheme="majorHAnsi" w:hAnsiTheme="majorHAnsi"/>
        </w:rPr>
        <w:t xml:space="preserve"> oder </w:t>
      </w:r>
      <w:r w:rsidR="0034798F" w:rsidRPr="0034798F">
        <w:rPr>
          <w:rFonts w:asciiTheme="majorHAnsi" w:hAnsiTheme="majorHAnsi"/>
        </w:rPr>
        <w:t xml:space="preserve">der Projektverantwortlichen. </w:t>
      </w:r>
      <w:r w:rsidR="00DB121E">
        <w:rPr>
          <w:rFonts w:asciiTheme="majorHAnsi" w:hAnsiTheme="majorHAnsi"/>
        </w:rPr>
        <w:t xml:space="preserve">Die Antragstellung ist </w:t>
      </w:r>
      <w:r>
        <w:rPr>
          <w:rFonts w:asciiTheme="majorHAnsi" w:hAnsiTheme="majorHAnsi"/>
        </w:rPr>
        <w:t>freiwillig.</w:t>
      </w:r>
    </w:p>
    <w:p w14:paraId="58789F59" w14:textId="77777777" w:rsidR="0034798F" w:rsidRPr="0034798F" w:rsidRDefault="00D44B31" w:rsidP="00D44B31">
      <w:pPr>
        <w:pStyle w:val="Default"/>
        <w:spacing w:after="120"/>
        <w:ind w:left="624" w:hanging="340"/>
        <w:jc w:val="both"/>
        <w:rPr>
          <w:rFonts w:asciiTheme="majorHAnsi" w:hAnsiTheme="majorHAnsi"/>
        </w:rPr>
      </w:pPr>
      <w:r>
        <w:rPr>
          <w:rFonts w:asciiTheme="majorHAnsi" w:hAnsiTheme="majorHAnsi"/>
        </w:rPr>
        <w:t xml:space="preserve">2. </w:t>
      </w:r>
      <w:r>
        <w:rPr>
          <w:rFonts w:asciiTheme="majorHAnsi" w:hAnsiTheme="majorHAnsi"/>
        </w:rPr>
        <w:tab/>
        <w:t>Dem Antrag ist eine Erklärung beizufügen, ob und ggf. wo das Forschungsvorhaben</w:t>
      </w:r>
      <w:r w:rsidR="006B3FFD">
        <w:rPr>
          <w:rFonts w:asciiTheme="majorHAnsi" w:hAnsiTheme="majorHAnsi"/>
        </w:rPr>
        <w:t xml:space="preserve"> bereits</w:t>
      </w:r>
      <w:r>
        <w:rPr>
          <w:rFonts w:asciiTheme="majorHAnsi" w:hAnsiTheme="majorHAnsi"/>
        </w:rPr>
        <w:t xml:space="preserve"> Gegenstand einer Ethikkommission gewesen ist oder ob ein Antrag gleichen Inhalts bei einer anderen Ethikkommission gestellt wurde. Die Entscheidungen anderer </w:t>
      </w:r>
      <w:r w:rsidR="006B3FFD">
        <w:rPr>
          <w:rFonts w:asciiTheme="majorHAnsi" w:hAnsiTheme="majorHAnsi"/>
        </w:rPr>
        <w:t>Ethikk</w:t>
      </w:r>
      <w:r>
        <w:rPr>
          <w:rFonts w:asciiTheme="majorHAnsi" w:hAnsiTheme="majorHAnsi"/>
        </w:rPr>
        <w:t xml:space="preserve">ommissionen sind beizufügen. </w:t>
      </w:r>
    </w:p>
    <w:p w14:paraId="2685F918" w14:textId="77777777" w:rsidR="0034798F" w:rsidRDefault="00D44B31" w:rsidP="00DB121E">
      <w:pPr>
        <w:pStyle w:val="Default"/>
        <w:spacing w:after="120"/>
        <w:ind w:left="624" w:hanging="340"/>
        <w:jc w:val="both"/>
        <w:rPr>
          <w:rFonts w:asciiTheme="majorHAnsi" w:hAnsiTheme="majorHAnsi"/>
        </w:rPr>
      </w:pPr>
      <w:r>
        <w:rPr>
          <w:rFonts w:asciiTheme="majorHAnsi" w:hAnsiTheme="majorHAnsi"/>
        </w:rPr>
        <w:t>3.</w:t>
      </w:r>
      <w:r w:rsidR="0034798F" w:rsidRPr="0034798F">
        <w:rPr>
          <w:rFonts w:asciiTheme="majorHAnsi" w:hAnsiTheme="majorHAnsi"/>
        </w:rPr>
        <w:t xml:space="preserve"> </w:t>
      </w:r>
      <w:r>
        <w:rPr>
          <w:rFonts w:asciiTheme="majorHAnsi" w:hAnsiTheme="majorHAnsi"/>
        </w:rPr>
        <w:tab/>
      </w:r>
      <w:r w:rsidR="0034798F" w:rsidRPr="0034798F">
        <w:rPr>
          <w:rFonts w:asciiTheme="majorHAnsi" w:hAnsiTheme="majorHAnsi"/>
        </w:rPr>
        <w:t xml:space="preserve">Die für die </w:t>
      </w:r>
      <w:r w:rsidR="006B3FFD">
        <w:rPr>
          <w:rFonts w:asciiTheme="majorHAnsi" w:hAnsiTheme="majorHAnsi"/>
        </w:rPr>
        <w:t>S</w:t>
      </w:r>
      <w:r w:rsidR="0034798F" w:rsidRPr="0034798F">
        <w:rPr>
          <w:rFonts w:asciiTheme="majorHAnsi" w:hAnsiTheme="majorHAnsi"/>
        </w:rPr>
        <w:t xml:space="preserve">tellungnahme </w:t>
      </w:r>
      <w:r w:rsidR="006B3FFD">
        <w:rPr>
          <w:rFonts w:asciiTheme="majorHAnsi" w:hAnsiTheme="majorHAnsi"/>
        </w:rPr>
        <w:t xml:space="preserve">der Ethikkommission </w:t>
      </w:r>
      <w:r w:rsidR="0034798F" w:rsidRPr="0034798F">
        <w:rPr>
          <w:rFonts w:asciiTheme="majorHAnsi" w:hAnsiTheme="majorHAnsi"/>
        </w:rPr>
        <w:t xml:space="preserve">relevanten Unterlagen sind vom </w:t>
      </w:r>
      <w:r w:rsidR="00ED1735">
        <w:rPr>
          <w:rFonts w:asciiTheme="majorHAnsi" w:hAnsiTheme="majorHAnsi"/>
        </w:rPr>
        <w:t xml:space="preserve">der Antragstellerin, dem </w:t>
      </w:r>
      <w:r w:rsidR="0034798F" w:rsidRPr="0034798F">
        <w:rPr>
          <w:rFonts w:asciiTheme="majorHAnsi" w:hAnsiTheme="majorHAnsi"/>
        </w:rPr>
        <w:t>Antragsteller</w:t>
      </w:r>
      <w:r w:rsidR="00ED1735">
        <w:rPr>
          <w:rFonts w:asciiTheme="majorHAnsi" w:hAnsiTheme="majorHAnsi"/>
        </w:rPr>
        <w:t xml:space="preserve"> oder </w:t>
      </w:r>
      <w:r w:rsidR="0034798F" w:rsidRPr="0034798F">
        <w:rPr>
          <w:rFonts w:asciiTheme="majorHAnsi" w:hAnsiTheme="majorHAnsi"/>
        </w:rPr>
        <w:t xml:space="preserve">von den Antragstellern </w:t>
      </w:r>
      <w:r w:rsidR="00DB121E">
        <w:rPr>
          <w:rFonts w:asciiTheme="majorHAnsi" w:hAnsiTheme="majorHAnsi"/>
        </w:rPr>
        <w:t>dem Kommissionsvorsitzenden volls</w:t>
      </w:r>
      <w:r w:rsidR="00BA66C8">
        <w:rPr>
          <w:rFonts w:asciiTheme="majorHAnsi" w:hAnsiTheme="majorHAnsi"/>
        </w:rPr>
        <w:t>tändig zuzusenden.</w:t>
      </w:r>
    </w:p>
    <w:p w14:paraId="7CB1C670" w14:textId="77777777" w:rsidR="00D44B31" w:rsidRPr="0034798F" w:rsidRDefault="00D44B31" w:rsidP="00093B79">
      <w:pPr>
        <w:pStyle w:val="Default"/>
        <w:ind w:left="624" w:hanging="340"/>
        <w:jc w:val="both"/>
        <w:rPr>
          <w:rFonts w:asciiTheme="majorHAnsi" w:hAnsiTheme="majorHAnsi"/>
        </w:rPr>
      </w:pPr>
    </w:p>
    <w:p w14:paraId="4B16A3C8" w14:textId="77777777" w:rsidR="0034798F" w:rsidRPr="0034798F" w:rsidRDefault="00DB121E" w:rsidP="000C681C">
      <w:pPr>
        <w:pStyle w:val="Default"/>
        <w:tabs>
          <w:tab w:val="left" w:pos="624"/>
        </w:tabs>
        <w:spacing w:after="120"/>
        <w:jc w:val="both"/>
        <w:rPr>
          <w:rFonts w:asciiTheme="majorHAnsi" w:hAnsiTheme="majorHAnsi"/>
        </w:rPr>
      </w:pPr>
      <w:r>
        <w:rPr>
          <w:rFonts w:asciiTheme="majorHAnsi" w:hAnsiTheme="majorHAnsi"/>
          <w:b/>
          <w:bCs/>
        </w:rPr>
        <w:lastRenderedPageBreak/>
        <w:t>§ 5</w:t>
      </w:r>
      <w:r w:rsidR="0034798F" w:rsidRPr="0034798F">
        <w:rPr>
          <w:rFonts w:asciiTheme="majorHAnsi" w:hAnsiTheme="majorHAnsi"/>
          <w:b/>
          <w:bCs/>
        </w:rPr>
        <w:t xml:space="preserve"> </w:t>
      </w:r>
      <w:r w:rsidR="000C681C">
        <w:rPr>
          <w:rFonts w:asciiTheme="majorHAnsi" w:hAnsiTheme="majorHAnsi"/>
          <w:b/>
          <w:bCs/>
        </w:rPr>
        <w:tab/>
      </w:r>
      <w:r w:rsidR="0034798F" w:rsidRPr="0034798F">
        <w:rPr>
          <w:rFonts w:asciiTheme="majorHAnsi" w:hAnsiTheme="majorHAnsi"/>
          <w:b/>
          <w:bCs/>
        </w:rPr>
        <w:t xml:space="preserve">Begutachtungsverfahren </w:t>
      </w:r>
    </w:p>
    <w:p w14:paraId="3E961B7A" w14:textId="77777777" w:rsidR="0034798F" w:rsidRPr="0034798F" w:rsidRDefault="00DB121E" w:rsidP="00DB121E">
      <w:pPr>
        <w:pStyle w:val="Default"/>
        <w:spacing w:after="120"/>
        <w:ind w:left="624" w:hanging="340"/>
        <w:jc w:val="both"/>
        <w:rPr>
          <w:rFonts w:asciiTheme="majorHAnsi" w:hAnsiTheme="majorHAnsi"/>
        </w:rPr>
      </w:pPr>
      <w:r>
        <w:rPr>
          <w:rFonts w:asciiTheme="majorHAnsi" w:hAnsiTheme="majorHAnsi"/>
        </w:rPr>
        <w:t xml:space="preserve">1. </w:t>
      </w:r>
      <w:r>
        <w:rPr>
          <w:rFonts w:asciiTheme="majorHAnsi" w:hAnsiTheme="majorHAnsi"/>
        </w:rPr>
        <w:tab/>
        <w:t>Auf der Gr</w:t>
      </w:r>
      <w:r w:rsidR="00692995">
        <w:rPr>
          <w:rFonts w:asciiTheme="majorHAnsi" w:hAnsiTheme="majorHAnsi"/>
        </w:rPr>
        <w:t>undlage der Stellungnahmen von zwei</w:t>
      </w:r>
      <w:r>
        <w:rPr>
          <w:rFonts w:asciiTheme="majorHAnsi" w:hAnsiTheme="majorHAnsi"/>
        </w:rPr>
        <w:t xml:space="preserve"> </w:t>
      </w:r>
      <w:r w:rsidR="00ED1735">
        <w:rPr>
          <w:rFonts w:asciiTheme="majorHAnsi" w:hAnsiTheme="majorHAnsi"/>
        </w:rPr>
        <w:t xml:space="preserve">Berichterstatterinnen und/oder </w:t>
      </w:r>
      <w:r>
        <w:rPr>
          <w:rFonts w:asciiTheme="majorHAnsi" w:hAnsiTheme="majorHAnsi"/>
        </w:rPr>
        <w:t xml:space="preserve">Berichterstattern nimmt die </w:t>
      </w:r>
      <w:r w:rsidR="0034798F" w:rsidRPr="0034798F">
        <w:rPr>
          <w:rFonts w:asciiTheme="majorHAnsi" w:hAnsiTheme="majorHAnsi"/>
        </w:rPr>
        <w:t xml:space="preserve">Ethikkommission </w:t>
      </w:r>
      <w:r>
        <w:rPr>
          <w:rFonts w:asciiTheme="majorHAnsi" w:hAnsiTheme="majorHAnsi"/>
        </w:rPr>
        <w:t xml:space="preserve">Stellung zum Antrag. </w:t>
      </w:r>
    </w:p>
    <w:p w14:paraId="1FA8FFC6" w14:textId="77777777" w:rsidR="0034798F" w:rsidRPr="0034798F" w:rsidRDefault="00DB121E" w:rsidP="00DB121E">
      <w:pPr>
        <w:pStyle w:val="Default"/>
        <w:spacing w:after="120"/>
        <w:ind w:left="624" w:hanging="340"/>
        <w:jc w:val="both"/>
        <w:rPr>
          <w:rFonts w:asciiTheme="majorHAnsi" w:hAnsiTheme="majorHAnsi"/>
        </w:rPr>
      </w:pPr>
      <w:r>
        <w:rPr>
          <w:rFonts w:asciiTheme="majorHAnsi" w:hAnsiTheme="majorHAnsi"/>
        </w:rPr>
        <w:t>2.</w:t>
      </w:r>
      <w:r>
        <w:rPr>
          <w:rFonts w:asciiTheme="majorHAnsi" w:hAnsiTheme="majorHAnsi"/>
        </w:rPr>
        <w:tab/>
      </w:r>
      <w:r w:rsidR="0034798F" w:rsidRPr="0034798F">
        <w:rPr>
          <w:rFonts w:asciiTheme="majorHAnsi" w:hAnsiTheme="majorHAnsi"/>
        </w:rPr>
        <w:t xml:space="preserve">Von der Erörterung </w:t>
      </w:r>
      <w:r w:rsidR="006B3FFD">
        <w:rPr>
          <w:rFonts w:asciiTheme="majorHAnsi" w:hAnsiTheme="majorHAnsi"/>
        </w:rPr>
        <w:t xml:space="preserve">und </w:t>
      </w:r>
      <w:r w:rsidR="0034798F" w:rsidRPr="0034798F">
        <w:rPr>
          <w:rFonts w:asciiTheme="majorHAnsi" w:hAnsiTheme="majorHAnsi"/>
        </w:rPr>
        <w:t xml:space="preserve">der Beschlussfassung ausgeschlossen sind Mitglieder, die an dem Forschungsprojekt mitwirken oder deren Interessen in einer Weise berührt sind, dass die Besorgnis der Befangenheit besteht. </w:t>
      </w:r>
      <w:r>
        <w:rPr>
          <w:rFonts w:asciiTheme="majorHAnsi" w:hAnsiTheme="majorHAnsi"/>
        </w:rPr>
        <w:t>Die Befangenheitsregeln der DFG finden Anwendung.</w:t>
      </w:r>
    </w:p>
    <w:p w14:paraId="31690A59" w14:textId="77777777" w:rsidR="0034798F" w:rsidRPr="0034798F" w:rsidRDefault="00DB121E" w:rsidP="00DB121E">
      <w:pPr>
        <w:pStyle w:val="Default"/>
        <w:spacing w:after="120"/>
        <w:ind w:left="624" w:hanging="340"/>
        <w:jc w:val="both"/>
        <w:rPr>
          <w:rFonts w:asciiTheme="majorHAnsi" w:hAnsiTheme="majorHAnsi"/>
        </w:rPr>
      </w:pPr>
      <w:r>
        <w:rPr>
          <w:rFonts w:asciiTheme="majorHAnsi" w:hAnsiTheme="majorHAnsi"/>
        </w:rPr>
        <w:t>3.</w:t>
      </w:r>
      <w:r>
        <w:rPr>
          <w:rFonts w:asciiTheme="majorHAnsi" w:hAnsiTheme="majorHAnsi"/>
        </w:rPr>
        <w:tab/>
      </w:r>
      <w:r w:rsidR="0034798F" w:rsidRPr="0034798F">
        <w:rPr>
          <w:rFonts w:asciiTheme="majorHAnsi" w:hAnsiTheme="majorHAnsi"/>
        </w:rPr>
        <w:t xml:space="preserve">Die Ethikkommission entscheidet grundsätzlich nach mündlicher Erörterung. </w:t>
      </w:r>
      <w:r>
        <w:rPr>
          <w:rFonts w:asciiTheme="majorHAnsi" w:hAnsiTheme="majorHAnsi"/>
        </w:rPr>
        <w:t>Eine s</w:t>
      </w:r>
      <w:r w:rsidR="0034798F" w:rsidRPr="0034798F">
        <w:rPr>
          <w:rFonts w:asciiTheme="majorHAnsi" w:hAnsiTheme="majorHAnsi"/>
        </w:rPr>
        <w:t xml:space="preserve">chriftliche Beschlussfassung im Umlaufverfahren ist zulässig, sofern kein Mitglied widerspricht. </w:t>
      </w:r>
    </w:p>
    <w:p w14:paraId="25BED3BF" w14:textId="77777777" w:rsidR="0034798F" w:rsidRPr="0034798F" w:rsidRDefault="00DB121E" w:rsidP="00DB121E">
      <w:pPr>
        <w:pStyle w:val="Default"/>
        <w:spacing w:after="120"/>
        <w:ind w:left="624" w:hanging="340"/>
        <w:jc w:val="both"/>
        <w:rPr>
          <w:rFonts w:asciiTheme="majorHAnsi" w:hAnsiTheme="majorHAnsi"/>
        </w:rPr>
      </w:pPr>
      <w:r>
        <w:rPr>
          <w:rFonts w:asciiTheme="majorHAnsi" w:hAnsiTheme="majorHAnsi"/>
        </w:rPr>
        <w:t>4.</w:t>
      </w:r>
      <w:r>
        <w:rPr>
          <w:rFonts w:asciiTheme="majorHAnsi" w:hAnsiTheme="majorHAnsi"/>
        </w:rPr>
        <w:tab/>
      </w:r>
      <w:r w:rsidR="0034798F" w:rsidRPr="0034798F">
        <w:rPr>
          <w:rFonts w:asciiTheme="majorHAnsi" w:hAnsiTheme="majorHAnsi"/>
        </w:rPr>
        <w:t>Die Kommission kann vo</w:t>
      </w:r>
      <w:r w:rsidR="00ED1735">
        <w:rPr>
          <w:rFonts w:asciiTheme="majorHAnsi" w:hAnsiTheme="majorHAnsi"/>
        </w:rPr>
        <w:t>n der Antragstellerin, de</w:t>
      </w:r>
      <w:r w:rsidR="0034798F" w:rsidRPr="0034798F">
        <w:rPr>
          <w:rFonts w:asciiTheme="majorHAnsi" w:hAnsiTheme="majorHAnsi"/>
        </w:rPr>
        <w:t>m Antragsteller</w:t>
      </w:r>
      <w:r w:rsidR="00ED1735">
        <w:rPr>
          <w:rFonts w:asciiTheme="majorHAnsi" w:hAnsiTheme="majorHAnsi"/>
        </w:rPr>
        <w:t xml:space="preserve"> oder </w:t>
      </w:r>
      <w:r w:rsidR="00AF7924">
        <w:rPr>
          <w:rFonts w:asciiTheme="majorHAnsi" w:hAnsiTheme="majorHAnsi"/>
        </w:rPr>
        <w:t xml:space="preserve">von </w:t>
      </w:r>
      <w:r w:rsidR="0034798F" w:rsidRPr="0034798F">
        <w:rPr>
          <w:rFonts w:asciiTheme="majorHAnsi" w:hAnsiTheme="majorHAnsi"/>
        </w:rPr>
        <w:t xml:space="preserve">den Antragstellern </w:t>
      </w:r>
      <w:r>
        <w:rPr>
          <w:rFonts w:asciiTheme="majorHAnsi" w:hAnsiTheme="majorHAnsi"/>
        </w:rPr>
        <w:t xml:space="preserve">eine </w:t>
      </w:r>
      <w:r w:rsidR="0034798F" w:rsidRPr="0034798F">
        <w:rPr>
          <w:rFonts w:asciiTheme="majorHAnsi" w:hAnsiTheme="majorHAnsi"/>
        </w:rPr>
        <w:t xml:space="preserve">mündliche Erläuterung des Forschungsvorhabens oder ergänzende Unterlagen, Angaben oder Begründungen verlangen. </w:t>
      </w:r>
    </w:p>
    <w:p w14:paraId="24CE10F1" w14:textId="77777777" w:rsidR="0034798F" w:rsidRDefault="00DB121E" w:rsidP="00DB121E">
      <w:pPr>
        <w:pStyle w:val="Default"/>
        <w:spacing w:after="120"/>
        <w:ind w:left="624" w:hanging="340"/>
        <w:jc w:val="both"/>
        <w:rPr>
          <w:rFonts w:asciiTheme="majorHAnsi" w:hAnsiTheme="majorHAnsi"/>
        </w:rPr>
      </w:pPr>
      <w:r>
        <w:rPr>
          <w:rFonts w:asciiTheme="majorHAnsi" w:hAnsiTheme="majorHAnsi"/>
        </w:rPr>
        <w:t xml:space="preserve">5. </w:t>
      </w:r>
      <w:r>
        <w:rPr>
          <w:rFonts w:asciiTheme="majorHAnsi" w:hAnsiTheme="majorHAnsi"/>
        </w:rPr>
        <w:tab/>
      </w:r>
      <w:r w:rsidR="0034798F" w:rsidRPr="0034798F">
        <w:rPr>
          <w:rFonts w:asciiTheme="majorHAnsi" w:hAnsiTheme="majorHAnsi"/>
        </w:rPr>
        <w:t xml:space="preserve">Die Entscheidung der Ethikkommission ist </w:t>
      </w:r>
      <w:r w:rsidR="00ED1735">
        <w:rPr>
          <w:rFonts w:asciiTheme="majorHAnsi" w:hAnsiTheme="majorHAnsi"/>
        </w:rPr>
        <w:t>der Antragstellerin, de</w:t>
      </w:r>
      <w:r w:rsidR="00ED1735" w:rsidRPr="0034798F">
        <w:rPr>
          <w:rFonts w:asciiTheme="majorHAnsi" w:hAnsiTheme="majorHAnsi"/>
        </w:rPr>
        <w:t>m Antragsteller</w:t>
      </w:r>
      <w:r w:rsidR="00ED1735">
        <w:rPr>
          <w:rFonts w:asciiTheme="majorHAnsi" w:hAnsiTheme="majorHAnsi"/>
        </w:rPr>
        <w:t xml:space="preserve"> oder </w:t>
      </w:r>
      <w:r w:rsidR="00ED1735" w:rsidRPr="0034798F">
        <w:rPr>
          <w:rFonts w:asciiTheme="majorHAnsi" w:hAnsiTheme="majorHAnsi"/>
        </w:rPr>
        <w:t xml:space="preserve">den Antragstellern </w:t>
      </w:r>
      <w:r w:rsidR="0034798F" w:rsidRPr="0034798F">
        <w:rPr>
          <w:rFonts w:asciiTheme="majorHAnsi" w:hAnsiTheme="majorHAnsi"/>
        </w:rPr>
        <w:t xml:space="preserve">schriftlich mitzuteilen. Ablehnende Bescheide, Auflagen </w:t>
      </w:r>
      <w:r w:rsidR="006B3FFD">
        <w:rPr>
          <w:rFonts w:asciiTheme="majorHAnsi" w:hAnsiTheme="majorHAnsi"/>
        </w:rPr>
        <w:t xml:space="preserve">oder </w:t>
      </w:r>
      <w:r w:rsidR="0034798F" w:rsidRPr="0034798F">
        <w:rPr>
          <w:rFonts w:asciiTheme="majorHAnsi" w:hAnsiTheme="majorHAnsi"/>
        </w:rPr>
        <w:t xml:space="preserve">Empfehlungen zur Änderung des Forschungsvorhabens sind schriftlich zu begründen. </w:t>
      </w:r>
    </w:p>
    <w:p w14:paraId="106CBD21" w14:textId="77777777" w:rsidR="00DA7EBA" w:rsidRDefault="00DB121E" w:rsidP="00DA7EBA">
      <w:pPr>
        <w:pStyle w:val="Default"/>
        <w:spacing w:after="120"/>
        <w:ind w:left="624" w:hanging="340"/>
        <w:jc w:val="both"/>
        <w:rPr>
          <w:rFonts w:asciiTheme="majorHAnsi" w:hAnsiTheme="majorHAnsi"/>
        </w:rPr>
      </w:pPr>
      <w:r>
        <w:rPr>
          <w:rFonts w:asciiTheme="majorHAnsi" w:hAnsiTheme="majorHAnsi"/>
        </w:rPr>
        <w:t xml:space="preserve">6. </w:t>
      </w:r>
      <w:r>
        <w:rPr>
          <w:rFonts w:asciiTheme="majorHAnsi" w:hAnsiTheme="majorHAnsi"/>
        </w:rPr>
        <w:tab/>
      </w:r>
      <w:r w:rsidRPr="0034798F">
        <w:rPr>
          <w:rFonts w:asciiTheme="majorHAnsi" w:hAnsiTheme="majorHAnsi"/>
        </w:rPr>
        <w:t xml:space="preserve">Bestehen gegen einen Antrag wesentliche Bedenken, kann </w:t>
      </w:r>
      <w:r w:rsidR="00DA7EBA">
        <w:rPr>
          <w:rFonts w:asciiTheme="majorHAnsi" w:hAnsiTheme="majorHAnsi"/>
        </w:rPr>
        <w:t xml:space="preserve">die Ethikkommission </w:t>
      </w:r>
      <w:r w:rsidR="00ED1735">
        <w:rPr>
          <w:rFonts w:asciiTheme="majorHAnsi" w:hAnsiTheme="majorHAnsi"/>
        </w:rPr>
        <w:t>die Antragstellerin, den</w:t>
      </w:r>
      <w:r w:rsidR="00ED1735" w:rsidRPr="0034798F">
        <w:rPr>
          <w:rFonts w:asciiTheme="majorHAnsi" w:hAnsiTheme="majorHAnsi"/>
        </w:rPr>
        <w:t xml:space="preserve"> Antragsteller</w:t>
      </w:r>
      <w:r w:rsidR="00ED1735">
        <w:rPr>
          <w:rFonts w:asciiTheme="majorHAnsi" w:hAnsiTheme="majorHAnsi"/>
        </w:rPr>
        <w:t xml:space="preserve"> oder die</w:t>
      </w:r>
      <w:r w:rsidR="00ED1735" w:rsidRPr="0034798F">
        <w:rPr>
          <w:rFonts w:asciiTheme="majorHAnsi" w:hAnsiTheme="majorHAnsi"/>
        </w:rPr>
        <w:t xml:space="preserve"> Antragsteller</w:t>
      </w:r>
      <w:r w:rsidR="00ED1735">
        <w:rPr>
          <w:rFonts w:asciiTheme="majorHAnsi" w:hAnsiTheme="majorHAnsi"/>
        </w:rPr>
        <w:t xml:space="preserve"> </w:t>
      </w:r>
      <w:r w:rsidR="00DA7EBA">
        <w:rPr>
          <w:rFonts w:asciiTheme="majorHAnsi" w:hAnsiTheme="majorHAnsi"/>
        </w:rPr>
        <w:t xml:space="preserve">zur Einreichung </w:t>
      </w:r>
      <w:r w:rsidRPr="0034798F">
        <w:rPr>
          <w:rFonts w:asciiTheme="majorHAnsi" w:hAnsiTheme="majorHAnsi"/>
        </w:rPr>
        <w:t xml:space="preserve">eines revidierten Antrages </w:t>
      </w:r>
      <w:r w:rsidR="00DA7EBA">
        <w:rPr>
          <w:rFonts w:asciiTheme="majorHAnsi" w:hAnsiTheme="majorHAnsi"/>
        </w:rPr>
        <w:t>auffordern</w:t>
      </w:r>
      <w:r w:rsidRPr="0034798F">
        <w:rPr>
          <w:rFonts w:asciiTheme="majorHAnsi" w:hAnsiTheme="majorHAnsi"/>
        </w:rPr>
        <w:t xml:space="preserve">. </w:t>
      </w:r>
      <w:r w:rsidR="0034798F" w:rsidRPr="0034798F">
        <w:rPr>
          <w:rFonts w:asciiTheme="majorHAnsi" w:hAnsiTheme="majorHAnsi"/>
        </w:rPr>
        <w:t>Wird ein Antrag aus ethischen Gründen abgelehnt, so k</w:t>
      </w:r>
      <w:r w:rsidR="00ED1735">
        <w:rPr>
          <w:rFonts w:asciiTheme="majorHAnsi" w:hAnsiTheme="majorHAnsi"/>
        </w:rPr>
        <w:t>ö</w:t>
      </w:r>
      <w:r w:rsidR="0034798F" w:rsidRPr="0034798F">
        <w:rPr>
          <w:rFonts w:asciiTheme="majorHAnsi" w:hAnsiTheme="majorHAnsi"/>
        </w:rPr>
        <w:t>nn</w:t>
      </w:r>
      <w:r w:rsidR="00ED1735">
        <w:rPr>
          <w:rFonts w:asciiTheme="majorHAnsi" w:hAnsiTheme="majorHAnsi"/>
        </w:rPr>
        <w:t>en</w:t>
      </w:r>
      <w:r w:rsidR="0034798F" w:rsidRPr="0034798F">
        <w:rPr>
          <w:rFonts w:asciiTheme="majorHAnsi" w:hAnsiTheme="majorHAnsi"/>
        </w:rPr>
        <w:t xml:space="preserve"> </w:t>
      </w:r>
      <w:r w:rsidR="00ED1735">
        <w:rPr>
          <w:rFonts w:asciiTheme="majorHAnsi" w:hAnsiTheme="majorHAnsi"/>
        </w:rPr>
        <w:t>die Antragstellerin, der</w:t>
      </w:r>
      <w:r w:rsidR="00ED1735" w:rsidRPr="0034798F">
        <w:rPr>
          <w:rFonts w:asciiTheme="majorHAnsi" w:hAnsiTheme="majorHAnsi"/>
        </w:rPr>
        <w:t xml:space="preserve"> Antragsteller</w:t>
      </w:r>
      <w:r w:rsidR="00ED1735">
        <w:rPr>
          <w:rFonts w:asciiTheme="majorHAnsi" w:hAnsiTheme="majorHAnsi"/>
        </w:rPr>
        <w:t xml:space="preserve"> oder die</w:t>
      </w:r>
      <w:r w:rsidR="00ED1735" w:rsidRPr="0034798F">
        <w:rPr>
          <w:rFonts w:asciiTheme="majorHAnsi" w:hAnsiTheme="majorHAnsi"/>
        </w:rPr>
        <w:t xml:space="preserve"> Antragsteller</w:t>
      </w:r>
      <w:r w:rsidR="00ED1735">
        <w:rPr>
          <w:rFonts w:asciiTheme="majorHAnsi" w:hAnsiTheme="majorHAnsi"/>
        </w:rPr>
        <w:t xml:space="preserve"> </w:t>
      </w:r>
      <w:r w:rsidR="0034798F" w:rsidRPr="0034798F">
        <w:rPr>
          <w:rFonts w:asciiTheme="majorHAnsi" w:hAnsiTheme="majorHAnsi"/>
        </w:rPr>
        <w:t xml:space="preserve">Gegenargumente darlegen und eine neue Stellungnahme der Kommission </w:t>
      </w:r>
      <w:r>
        <w:rPr>
          <w:rFonts w:asciiTheme="majorHAnsi" w:hAnsiTheme="majorHAnsi"/>
        </w:rPr>
        <w:t>beantragen.</w:t>
      </w:r>
    </w:p>
    <w:p w14:paraId="36A04AB8" w14:textId="77777777" w:rsidR="00BC5F2F" w:rsidRDefault="00BC5F2F" w:rsidP="00BC5F2F">
      <w:pPr>
        <w:pStyle w:val="Default"/>
        <w:spacing w:after="120"/>
        <w:ind w:left="624" w:hanging="340"/>
        <w:jc w:val="both"/>
        <w:rPr>
          <w:rFonts w:asciiTheme="majorHAnsi" w:hAnsiTheme="majorHAnsi"/>
        </w:rPr>
      </w:pPr>
      <w:r>
        <w:rPr>
          <w:rFonts w:asciiTheme="majorHAnsi" w:hAnsiTheme="majorHAnsi"/>
        </w:rPr>
        <w:t>7.</w:t>
      </w:r>
      <w:r>
        <w:rPr>
          <w:rFonts w:asciiTheme="majorHAnsi" w:hAnsiTheme="majorHAnsi"/>
        </w:rPr>
        <w:tab/>
      </w:r>
      <w:r w:rsidR="00AA59DC">
        <w:rPr>
          <w:rStyle w:val="s8"/>
          <w:rFonts w:asciiTheme="majorHAnsi" w:eastAsia="Times New Roman" w:hAnsiTheme="majorHAnsi"/>
        </w:rPr>
        <w:t xml:space="preserve">Bei ihrer </w:t>
      </w:r>
      <w:r w:rsidR="00DA7EBA" w:rsidRPr="00DA7EBA">
        <w:rPr>
          <w:rStyle w:val="s8"/>
          <w:rFonts w:asciiTheme="majorHAnsi" w:eastAsia="Times New Roman" w:hAnsiTheme="majorHAnsi"/>
        </w:rPr>
        <w:t>Entscheidungsfindung </w:t>
      </w:r>
      <w:r w:rsidR="00AA59DC">
        <w:rPr>
          <w:rStyle w:val="s8"/>
          <w:rFonts w:asciiTheme="majorHAnsi" w:eastAsia="Times New Roman" w:hAnsiTheme="majorHAnsi"/>
        </w:rPr>
        <w:t>strebt die Kommission einen Konsens an</w:t>
      </w:r>
      <w:r w:rsidR="00DA7EBA" w:rsidRPr="00DA7EBA">
        <w:rPr>
          <w:rStyle w:val="s8"/>
          <w:rFonts w:asciiTheme="majorHAnsi" w:eastAsia="Times New Roman" w:hAnsiTheme="majorHAnsi"/>
        </w:rPr>
        <w:t xml:space="preserve">. Wird </w:t>
      </w:r>
      <w:r w:rsidR="00AA59DC">
        <w:rPr>
          <w:rStyle w:val="s8"/>
          <w:rFonts w:asciiTheme="majorHAnsi" w:eastAsia="Times New Roman" w:hAnsiTheme="majorHAnsi"/>
        </w:rPr>
        <w:t xml:space="preserve">kein Konsens </w:t>
      </w:r>
      <w:r w:rsidR="00DA7EBA" w:rsidRPr="00DA7EBA">
        <w:rPr>
          <w:rStyle w:val="s8"/>
          <w:rFonts w:asciiTheme="majorHAnsi" w:eastAsia="Times New Roman" w:hAnsiTheme="majorHAnsi"/>
        </w:rPr>
        <w:t>er</w:t>
      </w:r>
      <w:r w:rsidR="00AA59DC">
        <w:rPr>
          <w:rStyle w:val="s8"/>
          <w:rFonts w:asciiTheme="majorHAnsi" w:eastAsia="Times New Roman" w:hAnsiTheme="majorHAnsi"/>
        </w:rPr>
        <w:t>zielt</w:t>
      </w:r>
      <w:r w:rsidR="00DA7EBA" w:rsidRPr="00DA7EBA">
        <w:rPr>
          <w:rStyle w:val="s8"/>
          <w:rFonts w:asciiTheme="majorHAnsi" w:eastAsia="Times New Roman" w:hAnsiTheme="majorHAnsi"/>
        </w:rPr>
        <w:t>, be</w:t>
      </w:r>
      <w:r w:rsidR="00AA59DC">
        <w:rPr>
          <w:rStyle w:val="s8"/>
          <w:rFonts w:asciiTheme="majorHAnsi" w:eastAsia="Times New Roman" w:hAnsiTheme="majorHAnsi"/>
        </w:rPr>
        <w:t xml:space="preserve">schließt die Kommission mit der Mehrheit </w:t>
      </w:r>
      <w:r w:rsidR="00DA7EBA" w:rsidRPr="00DA7EBA">
        <w:rPr>
          <w:rStyle w:val="s8"/>
          <w:rFonts w:asciiTheme="majorHAnsi" w:eastAsia="Times New Roman" w:hAnsiTheme="majorHAnsi"/>
        </w:rPr>
        <w:t xml:space="preserve">der </w:t>
      </w:r>
      <w:r w:rsidR="006B49BF">
        <w:rPr>
          <w:rStyle w:val="s8"/>
          <w:rFonts w:asciiTheme="majorHAnsi" w:eastAsia="Times New Roman" w:hAnsiTheme="majorHAnsi"/>
        </w:rPr>
        <w:t xml:space="preserve">anwesenden </w:t>
      </w:r>
      <w:r w:rsidR="00DA7EBA" w:rsidRPr="00DA7EBA">
        <w:rPr>
          <w:rStyle w:val="s8"/>
          <w:rFonts w:asciiTheme="majorHAnsi" w:eastAsia="Times New Roman" w:hAnsiTheme="majorHAnsi"/>
        </w:rPr>
        <w:t>stimmberechtigten Mitglieder in einer gehei</w:t>
      </w:r>
      <w:r w:rsidR="00AA59DC">
        <w:rPr>
          <w:rStyle w:val="s8"/>
          <w:rFonts w:asciiTheme="majorHAnsi" w:eastAsia="Times New Roman" w:hAnsiTheme="majorHAnsi"/>
        </w:rPr>
        <w:t xml:space="preserve">men Abstimmung. Stimmenthaltung </w:t>
      </w:r>
      <w:r w:rsidR="00DA7EBA" w:rsidRPr="00DA7EBA">
        <w:rPr>
          <w:rStyle w:val="s8"/>
          <w:rFonts w:asciiTheme="majorHAnsi" w:eastAsia="Times New Roman" w:hAnsiTheme="majorHAnsi"/>
        </w:rPr>
        <w:t>gilt als</w:t>
      </w:r>
      <w:r w:rsidR="00DA7EBA">
        <w:rPr>
          <w:rStyle w:val="s8"/>
          <w:rFonts w:asciiTheme="majorHAnsi" w:eastAsia="Times New Roman" w:hAnsiTheme="majorHAnsi"/>
        </w:rPr>
        <w:t xml:space="preserve"> </w:t>
      </w:r>
      <w:r w:rsidR="00DA7EBA" w:rsidRPr="00DA7EBA">
        <w:rPr>
          <w:rStyle w:val="s8"/>
          <w:rFonts w:asciiTheme="majorHAnsi" w:eastAsia="Times New Roman" w:hAnsiTheme="majorHAnsi"/>
        </w:rPr>
        <w:t>Ablehnung. </w:t>
      </w:r>
      <w:r w:rsidRPr="00DA7EBA">
        <w:rPr>
          <w:rFonts w:asciiTheme="majorHAnsi" w:hAnsiTheme="majorHAnsi"/>
        </w:rPr>
        <w:t>Bei Stimmengleichheit</w:t>
      </w:r>
      <w:r>
        <w:rPr>
          <w:rFonts w:asciiTheme="majorHAnsi" w:hAnsiTheme="majorHAnsi"/>
        </w:rPr>
        <w:t xml:space="preserve"> ist der Antrag abgelehnt.</w:t>
      </w:r>
    </w:p>
    <w:p w14:paraId="3E5F435E" w14:textId="77777777" w:rsidR="0034798F" w:rsidRPr="0034798F" w:rsidRDefault="000C681C" w:rsidP="00DB121E">
      <w:pPr>
        <w:pStyle w:val="Default"/>
        <w:spacing w:after="120"/>
        <w:ind w:left="624" w:hanging="340"/>
        <w:jc w:val="both"/>
        <w:rPr>
          <w:rFonts w:asciiTheme="majorHAnsi" w:hAnsiTheme="majorHAnsi"/>
        </w:rPr>
      </w:pPr>
      <w:r>
        <w:rPr>
          <w:rFonts w:asciiTheme="majorHAnsi" w:hAnsiTheme="majorHAnsi"/>
        </w:rPr>
        <w:t>8.</w:t>
      </w:r>
      <w:r>
        <w:rPr>
          <w:rFonts w:asciiTheme="majorHAnsi" w:hAnsiTheme="majorHAnsi"/>
        </w:rPr>
        <w:tab/>
      </w:r>
      <w:r w:rsidR="00DA7EBA">
        <w:rPr>
          <w:rFonts w:asciiTheme="majorHAnsi" w:hAnsiTheme="majorHAnsi"/>
        </w:rPr>
        <w:t>Konsortialanträge</w:t>
      </w:r>
      <w:r w:rsidR="0034798F" w:rsidRPr="0034798F">
        <w:rPr>
          <w:rFonts w:asciiTheme="majorHAnsi" w:hAnsiTheme="majorHAnsi"/>
        </w:rPr>
        <w:t xml:space="preserve">, die bereits </w:t>
      </w:r>
      <w:r w:rsidR="00DA7EBA">
        <w:rPr>
          <w:rFonts w:asciiTheme="majorHAnsi" w:hAnsiTheme="majorHAnsi"/>
        </w:rPr>
        <w:t xml:space="preserve">von </w:t>
      </w:r>
      <w:r w:rsidR="0034798F" w:rsidRPr="0034798F">
        <w:rPr>
          <w:rFonts w:asciiTheme="majorHAnsi" w:hAnsiTheme="majorHAnsi"/>
        </w:rPr>
        <w:t>einer anderen Kommission beurteilt wurden, können durch d</w:t>
      </w:r>
      <w:r w:rsidR="00DA7EBA">
        <w:rPr>
          <w:rFonts w:asciiTheme="majorHAnsi" w:hAnsiTheme="majorHAnsi"/>
        </w:rPr>
        <w:t>en Kommissionsvorsitzenden bzw. d</w:t>
      </w:r>
      <w:r w:rsidR="0034798F" w:rsidRPr="0034798F">
        <w:rPr>
          <w:rFonts w:asciiTheme="majorHAnsi" w:hAnsiTheme="majorHAnsi"/>
        </w:rPr>
        <w:t>ie</w:t>
      </w:r>
      <w:r w:rsidR="00DA7EBA">
        <w:rPr>
          <w:rFonts w:asciiTheme="majorHAnsi" w:hAnsiTheme="majorHAnsi"/>
        </w:rPr>
        <w:t xml:space="preserve"> Kommissionsvorsitzende </w:t>
      </w:r>
      <w:r w:rsidR="0034798F" w:rsidRPr="0034798F">
        <w:rPr>
          <w:rFonts w:asciiTheme="majorHAnsi" w:hAnsiTheme="majorHAnsi"/>
        </w:rPr>
        <w:t>behandelt</w:t>
      </w:r>
      <w:r w:rsidR="00DA7EBA">
        <w:rPr>
          <w:rFonts w:asciiTheme="majorHAnsi" w:hAnsiTheme="majorHAnsi"/>
        </w:rPr>
        <w:t xml:space="preserve"> und entschieden </w:t>
      </w:r>
      <w:r w:rsidR="0034798F" w:rsidRPr="0034798F">
        <w:rPr>
          <w:rFonts w:asciiTheme="majorHAnsi" w:hAnsiTheme="majorHAnsi"/>
        </w:rPr>
        <w:t xml:space="preserve">werden. Die Kommission ist </w:t>
      </w:r>
      <w:r w:rsidR="00DA7EBA">
        <w:rPr>
          <w:rFonts w:asciiTheme="majorHAnsi" w:hAnsiTheme="majorHAnsi"/>
        </w:rPr>
        <w:t xml:space="preserve">zeitnah </w:t>
      </w:r>
      <w:r w:rsidR="0034798F" w:rsidRPr="0034798F">
        <w:rPr>
          <w:rFonts w:asciiTheme="majorHAnsi" w:hAnsiTheme="majorHAnsi"/>
        </w:rPr>
        <w:t>zu unterrichten</w:t>
      </w:r>
      <w:r w:rsidR="00DA7EBA">
        <w:rPr>
          <w:rFonts w:asciiTheme="majorHAnsi" w:hAnsiTheme="majorHAnsi"/>
        </w:rPr>
        <w:t>. In Zweifelsfällen befasst sie sich selbst mit dem Antrag</w:t>
      </w:r>
      <w:r w:rsidR="0034798F" w:rsidRPr="0034798F">
        <w:rPr>
          <w:rFonts w:asciiTheme="majorHAnsi" w:hAnsiTheme="majorHAnsi"/>
        </w:rPr>
        <w:t xml:space="preserve">. </w:t>
      </w:r>
    </w:p>
    <w:p w14:paraId="67A854C6" w14:textId="77777777" w:rsidR="0034798F" w:rsidRDefault="000C681C" w:rsidP="00DB121E">
      <w:pPr>
        <w:pStyle w:val="Default"/>
        <w:spacing w:after="120"/>
        <w:ind w:left="624" w:hanging="340"/>
        <w:jc w:val="both"/>
        <w:rPr>
          <w:rFonts w:asciiTheme="majorHAnsi" w:hAnsiTheme="majorHAnsi"/>
        </w:rPr>
      </w:pPr>
      <w:r>
        <w:rPr>
          <w:rFonts w:asciiTheme="majorHAnsi" w:hAnsiTheme="majorHAnsi"/>
        </w:rPr>
        <w:t>9.</w:t>
      </w:r>
      <w:r>
        <w:rPr>
          <w:rFonts w:asciiTheme="majorHAnsi" w:hAnsiTheme="majorHAnsi"/>
        </w:rPr>
        <w:tab/>
      </w:r>
      <w:r w:rsidR="0034798F" w:rsidRPr="0034798F">
        <w:rPr>
          <w:rFonts w:asciiTheme="majorHAnsi" w:hAnsiTheme="majorHAnsi"/>
        </w:rPr>
        <w:t xml:space="preserve">Sitzungen der Ethikkommission sind nicht öffentlich. Ihre Ergebnisse sind in einem </w:t>
      </w:r>
      <w:r>
        <w:rPr>
          <w:rFonts w:asciiTheme="majorHAnsi" w:hAnsiTheme="majorHAnsi"/>
        </w:rPr>
        <w:t xml:space="preserve">nicht-öffentlichen </w:t>
      </w:r>
      <w:r w:rsidR="0034798F" w:rsidRPr="0034798F">
        <w:rPr>
          <w:rFonts w:asciiTheme="majorHAnsi" w:hAnsiTheme="majorHAnsi"/>
        </w:rPr>
        <w:t xml:space="preserve">Protokoll festzuhalten. </w:t>
      </w:r>
    </w:p>
    <w:p w14:paraId="3FC911C9" w14:textId="77777777" w:rsidR="00EC4299" w:rsidRDefault="00EC4299" w:rsidP="00093B79">
      <w:pPr>
        <w:pStyle w:val="Default"/>
        <w:jc w:val="both"/>
        <w:rPr>
          <w:rFonts w:asciiTheme="majorHAnsi" w:hAnsiTheme="majorHAnsi"/>
        </w:rPr>
      </w:pPr>
    </w:p>
    <w:p w14:paraId="1FBC2E67" w14:textId="77777777" w:rsidR="00692995" w:rsidRPr="00692995" w:rsidRDefault="00692995" w:rsidP="00093B79">
      <w:pPr>
        <w:pStyle w:val="Default"/>
        <w:jc w:val="both"/>
        <w:rPr>
          <w:rFonts w:asciiTheme="majorHAnsi" w:hAnsiTheme="majorHAnsi"/>
          <w:b/>
        </w:rPr>
      </w:pPr>
      <w:r w:rsidRPr="00692995">
        <w:rPr>
          <w:rFonts w:asciiTheme="majorHAnsi" w:hAnsiTheme="majorHAnsi"/>
          <w:b/>
        </w:rPr>
        <w:t>§ 5a</w:t>
      </w:r>
      <w:r w:rsidRPr="00692995">
        <w:rPr>
          <w:rFonts w:asciiTheme="majorHAnsi" w:hAnsiTheme="majorHAnsi"/>
          <w:b/>
        </w:rPr>
        <w:tab/>
        <w:t>Beschleunigtes Begutachtungsverfahren</w:t>
      </w:r>
    </w:p>
    <w:p w14:paraId="114CEBDB" w14:textId="77777777" w:rsidR="00692995" w:rsidRDefault="00692995" w:rsidP="00093B79">
      <w:pPr>
        <w:pStyle w:val="Default"/>
        <w:jc w:val="both"/>
        <w:rPr>
          <w:rFonts w:asciiTheme="majorHAnsi" w:hAnsiTheme="majorHAnsi"/>
        </w:rPr>
      </w:pPr>
    </w:p>
    <w:p w14:paraId="4F00DA25" w14:textId="77777777" w:rsidR="00692995" w:rsidRDefault="00692995" w:rsidP="00692995">
      <w:pPr>
        <w:pStyle w:val="Listenabsatz"/>
        <w:numPr>
          <w:ilvl w:val="0"/>
          <w:numId w:val="0"/>
        </w:numPr>
        <w:spacing w:after="120" w:line="240" w:lineRule="auto"/>
        <w:contextualSpacing w:val="0"/>
        <w:jc w:val="both"/>
        <w:rPr>
          <w:rFonts w:asciiTheme="majorHAnsi" w:hAnsiTheme="majorHAnsi"/>
          <w:szCs w:val="24"/>
        </w:rPr>
      </w:pPr>
      <w:r w:rsidRPr="00692995">
        <w:rPr>
          <w:rFonts w:asciiTheme="majorHAnsi" w:hAnsiTheme="majorHAnsi"/>
          <w:szCs w:val="24"/>
        </w:rPr>
        <w:t xml:space="preserve">Wenn in der Checkliste des FB 02 alle Fragen so beantwortet wurden, dass sich keine Anhaltpunkte für die Notwendigkeit einer vertieften Begutachtung ergeben oder ein im wesentlichen unveränderter Folgeantrag zu einem Projekt eingereicht wird, das bereits als ethisch unbedenklich beurteilt wurde, so entscheidet der Vorsitzende oder die Vorsitzende oder seine Stellvertreterin oder sein Stellvertreter unverzüglich und alleine über den Antrag, ohne dass die Stellungnahmen von zwei Berichterstattern und eine mündliche Erörterung des Antrags in der Kommission notwendig sind. </w:t>
      </w:r>
    </w:p>
    <w:p w14:paraId="6EBD9003" w14:textId="77777777" w:rsidR="00692995" w:rsidRPr="00692995" w:rsidRDefault="00692995" w:rsidP="00692995">
      <w:pPr>
        <w:pStyle w:val="Listenabsatz"/>
        <w:numPr>
          <w:ilvl w:val="0"/>
          <w:numId w:val="0"/>
        </w:numPr>
        <w:spacing w:after="120" w:line="240" w:lineRule="auto"/>
        <w:contextualSpacing w:val="0"/>
        <w:jc w:val="both"/>
        <w:rPr>
          <w:rFonts w:asciiTheme="majorHAnsi" w:hAnsiTheme="majorHAnsi"/>
          <w:szCs w:val="24"/>
        </w:rPr>
      </w:pPr>
      <w:r w:rsidRPr="00692995">
        <w:rPr>
          <w:rFonts w:asciiTheme="majorHAnsi" w:hAnsiTheme="majorHAnsi"/>
          <w:szCs w:val="24"/>
        </w:rPr>
        <w:t>Bestehen nach der Prüfung durch den Vorsitzenden oder die Vorsitzende oder seiner/ihrer Stellvertretung Anhaltspunkte für ethische Bedenken, benennt er oder sie unverzüglich zwei Berichterstatter und es wird das Begutachtungsverfahren nach § 5 angewandt.“</w:t>
      </w:r>
    </w:p>
    <w:p w14:paraId="794AA35F" w14:textId="77777777" w:rsidR="00692995" w:rsidRPr="0034798F" w:rsidRDefault="00692995" w:rsidP="00093B79">
      <w:pPr>
        <w:pStyle w:val="Default"/>
        <w:jc w:val="both"/>
        <w:rPr>
          <w:rFonts w:asciiTheme="majorHAnsi" w:hAnsiTheme="majorHAnsi"/>
        </w:rPr>
      </w:pPr>
    </w:p>
    <w:p w14:paraId="3F6A5D16" w14:textId="77777777" w:rsidR="0034798F" w:rsidRPr="0034798F" w:rsidRDefault="000C681C" w:rsidP="000C681C">
      <w:pPr>
        <w:pStyle w:val="Default"/>
        <w:tabs>
          <w:tab w:val="left" w:pos="624"/>
        </w:tabs>
        <w:spacing w:after="120"/>
        <w:jc w:val="both"/>
        <w:rPr>
          <w:rFonts w:asciiTheme="majorHAnsi" w:hAnsiTheme="majorHAnsi"/>
        </w:rPr>
      </w:pPr>
      <w:r>
        <w:rPr>
          <w:rFonts w:asciiTheme="majorHAnsi" w:hAnsiTheme="majorHAnsi"/>
          <w:b/>
          <w:bCs/>
        </w:rPr>
        <w:t>§ 6</w:t>
      </w:r>
      <w:r w:rsidR="0034798F" w:rsidRPr="0034798F">
        <w:rPr>
          <w:rFonts w:asciiTheme="majorHAnsi" w:hAnsiTheme="majorHAnsi"/>
          <w:b/>
          <w:bCs/>
        </w:rPr>
        <w:t xml:space="preserve"> </w:t>
      </w:r>
      <w:r>
        <w:rPr>
          <w:rFonts w:asciiTheme="majorHAnsi" w:hAnsiTheme="majorHAnsi"/>
          <w:b/>
          <w:bCs/>
        </w:rPr>
        <w:tab/>
      </w:r>
      <w:r w:rsidR="0034798F" w:rsidRPr="0034798F">
        <w:rPr>
          <w:rFonts w:asciiTheme="majorHAnsi" w:hAnsiTheme="majorHAnsi"/>
          <w:b/>
          <w:bCs/>
        </w:rPr>
        <w:t xml:space="preserve">Vertraulichkeit der Ethik-Begutachtung </w:t>
      </w:r>
    </w:p>
    <w:p w14:paraId="6E81EC48" w14:textId="77777777" w:rsidR="0034798F" w:rsidRPr="0034798F" w:rsidRDefault="000C681C" w:rsidP="000C681C">
      <w:pPr>
        <w:pStyle w:val="Default"/>
        <w:spacing w:after="120"/>
        <w:ind w:left="624" w:hanging="340"/>
        <w:jc w:val="both"/>
        <w:rPr>
          <w:rFonts w:asciiTheme="majorHAnsi" w:hAnsiTheme="majorHAnsi"/>
        </w:rPr>
      </w:pPr>
      <w:r>
        <w:rPr>
          <w:rFonts w:asciiTheme="majorHAnsi" w:hAnsiTheme="majorHAnsi"/>
        </w:rPr>
        <w:t>1.</w:t>
      </w:r>
      <w:r>
        <w:rPr>
          <w:rFonts w:asciiTheme="majorHAnsi" w:hAnsiTheme="majorHAnsi"/>
        </w:rPr>
        <w:tab/>
      </w:r>
      <w:r w:rsidR="0034798F" w:rsidRPr="0034798F">
        <w:rPr>
          <w:rFonts w:asciiTheme="majorHAnsi" w:hAnsiTheme="majorHAnsi"/>
        </w:rPr>
        <w:t xml:space="preserve">Der Gegenstand des Verfahrens und die Stellungnahmen der Ethik-Kommission sind vertraulich zu behandeln. Die Mitglieder der Kommission sind zu Verschwiegenheit verpflichtet. Dasselbe gilt für hinzugezogene Sachverständige. Individuelle Voten werden vertraulich behandelt. </w:t>
      </w:r>
    </w:p>
    <w:p w14:paraId="09527774" w14:textId="77777777" w:rsidR="0034798F" w:rsidRPr="0034798F" w:rsidRDefault="000C681C" w:rsidP="000C681C">
      <w:pPr>
        <w:pStyle w:val="Default"/>
        <w:spacing w:after="120"/>
        <w:ind w:left="624" w:hanging="340"/>
        <w:jc w:val="both"/>
        <w:rPr>
          <w:rFonts w:asciiTheme="majorHAnsi" w:hAnsiTheme="majorHAnsi"/>
        </w:rPr>
      </w:pPr>
      <w:r>
        <w:rPr>
          <w:rFonts w:asciiTheme="majorHAnsi" w:hAnsiTheme="majorHAnsi"/>
        </w:rPr>
        <w:t>2.</w:t>
      </w:r>
      <w:r>
        <w:rPr>
          <w:rFonts w:asciiTheme="majorHAnsi" w:hAnsiTheme="majorHAnsi"/>
        </w:rPr>
        <w:tab/>
      </w:r>
      <w:r w:rsidR="0034798F" w:rsidRPr="0034798F">
        <w:rPr>
          <w:rFonts w:asciiTheme="majorHAnsi" w:hAnsiTheme="majorHAnsi"/>
        </w:rPr>
        <w:t xml:space="preserve">Die Mitglieder der Ethikkommission sind zu Beginn ihrer Tätigkeit über ihre Verschwiegenheitspflicht zu belehren. </w:t>
      </w:r>
    </w:p>
    <w:p w14:paraId="3BBD42D5" w14:textId="77777777" w:rsidR="0034798F" w:rsidRPr="0034798F" w:rsidRDefault="000C681C" w:rsidP="00DA7EBA">
      <w:pPr>
        <w:pStyle w:val="Default"/>
        <w:spacing w:after="120"/>
        <w:ind w:left="624" w:hanging="340"/>
        <w:jc w:val="both"/>
        <w:rPr>
          <w:rFonts w:asciiTheme="majorHAnsi" w:hAnsiTheme="majorHAnsi"/>
        </w:rPr>
      </w:pPr>
      <w:r>
        <w:rPr>
          <w:rFonts w:asciiTheme="majorHAnsi" w:hAnsiTheme="majorHAnsi"/>
        </w:rPr>
        <w:t xml:space="preserve">3. </w:t>
      </w:r>
      <w:r>
        <w:rPr>
          <w:rFonts w:asciiTheme="majorHAnsi" w:hAnsiTheme="majorHAnsi"/>
        </w:rPr>
        <w:tab/>
        <w:t xml:space="preserve">Die Berichte der </w:t>
      </w:r>
      <w:r w:rsidR="0034798F" w:rsidRPr="0034798F">
        <w:rPr>
          <w:rFonts w:asciiTheme="majorHAnsi" w:hAnsiTheme="majorHAnsi"/>
        </w:rPr>
        <w:t>Kommission</w:t>
      </w:r>
      <w:r>
        <w:rPr>
          <w:rFonts w:asciiTheme="majorHAnsi" w:hAnsiTheme="majorHAnsi"/>
        </w:rPr>
        <w:t xml:space="preserve">, </w:t>
      </w:r>
      <w:r w:rsidR="0034798F" w:rsidRPr="0034798F">
        <w:rPr>
          <w:rFonts w:asciiTheme="majorHAnsi" w:hAnsiTheme="majorHAnsi"/>
        </w:rPr>
        <w:t>Antrags</w:t>
      </w:r>
      <w:r w:rsidR="00634574">
        <w:rPr>
          <w:rFonts w:asciiTheme="majorHAnsi" w:hAnsiTheme="majorHAnsi"/>
        </w:rPr>
        <w:t>unterlagen, Sitzungsprotokolle</w:t>
      </w:r>
      <w:r w:rsidR="0034798F" w:rsidRPr="0034798F">
        <w:rPr>
          <w:rFonts w:asciiTheme="majorHAnsi" w:hAnsiTheme="majorHAnsi"/>
        </w:rPr>
        <w:t xml:space="preserve">, </w:t>
      </w:r>
      <w:r w:rsidR="00634574">
        <w:rPr>
          <w:rFonts w:asciiTheme="majorHAnsi" w:hAnsiTheme="majorHAnsi"/>
        </w:rPr>
        <w:t>Z</w:t>
      </w:r>
      <w:r w:rsidR="0034798F" w:rsidRPr="0034798F">
        <w:rPr>
          <w:rFonts w:asciiTheme="majorHAnsi" w:hAnsiTheme="majorHAnsi"/>
        </w:rPr>
        <w:t xml:space="preserve">wischen- und Abschlussberichte, Schriftwechsel etc. werden </w:t>
      </w:r>
      <w:r w:rsidR="00DA7EBA">
        <w:rPr>
          <w:rFonts w:asciiTheme="majorHAnsi" w:hAnsiTheme="majorHAnsi"/>
        </w:rPr>
        <w:t>unter Beachtung der Datenschutzregeln archiviert.</w:t>
      </w:r>
      <w:r w:rsidR="0034798F" w:rsidRPr="0034798F">
        <w:rPr>
          <w:rFonts w:asciiTheme="majorHAnsi" w:hAnsiTheme="majorHAnsi"/>
        </w:rPr>
        <w:t xml:space="preserve"> </w:t>
      </w:r>
    </w:p>
    <w:p w14:paraId="66B9A6DD" w14:textId="77777777" w:rsidR="0034798F" w:rsidRPr="0034798F" w:rsidRDefault="0034798F" w:rsidP="00DB121E">
      <w:pPr>
        <w:spacing w:after="120" w:line="240" w:lineRule="auto"/>
        <w:jc w:val="both"/>
        <w:rPr>
          <w:rFonts w:asciiTheme="majorHAnsi" w:hAnsiTheme="majorHAnsi"/>
          <w:szCs w:val="24"/>
        </w:rPr>
      </w:pPr>
    </w:p>
    <w:p w14:paraId="7B43630B" w14:textId="77777777" w:rsidR="0034798F" w:rsidRPr="00EC4299" w:rsidRDefault="00EC4299" w:rsidP="00A01059">
      <w:pPr>
        <w:jc w:val="both"/>
        <w:rPr>
          <w:rFonts w:asciiTheme="majorHAnsi" w:hAnsiTheme="majorHAnsi"/>
          <w:b/>
          <w:szCs w:val="24"/>
        </w:rPr>
      </w:pPr>
      <w:r w:rsidRPr="00EC4299">
        <w:rPr>
          <w:rFonts w:asciiTheme="majorHAnsi" w:hAnsiTheme="majorHAnsi"/>
          <w:b/>
          <w:szCs w:val="24"/>
        </w:rPr>
        <w:t>Anhang</w:t>
      </w:r>
    </w:p>
    <w:p w14:paraId="633B9960" w14:textId="77777777" w:rsidR="00692995" w:rsidRPr="00692995" w:rsidRDefault="00692995" w:rsidP="00692995">
      <w:pPr>
        <w:rPr>
          <w:u w:val="single"/>
        </w:rPr>
      </w:pPr>
      <w:r w:rsidRPr="00692995">
        <w:rPr>
          <w:u w:val="single"/>
        </w:rPr>
        <w:t>Einzureichende Unterlagen:</w:t>
      </w:r>
    </w:p>
    <w:p w14:paraId="0077E5CD" w14:textId="77777777" w:rsidR="00692995" w:rsidRDefault="00692995" w:rsidP="00692995">
      <w:pPr>
        <w:pStyle w:val="Listenabsatz"/>
        <w:numPr>
          <w:ilvl w:val="0"/>
          <w:numId w:val="14"/>
        </w:numPr>
      </w:pPr>
      <w:r>
        <w:t>Komplett ausgefülltes und unterschriebenes Antragsformular inkl. Probandenaufklärung und Einverständniserklärung als Anhang (siehe Anlage 1)</w:t>
      </w:r>
    </w:p>
    <w:p w14:paraId="12B7887F" w14:textId="77777777" w:rsidR="00692995" w:rsidRDefault="00692995" w:rsidP="00692995">
      <w:pPr>
        <w:pStyle w:val="Listenabsatz"/>
        <w:numPr>
          <w:ilvl w:val="0"/>
          <w:numId w:val="14"/>
        </w:numPr>
      </w:pPr>
      <w:r>
        <w:t>Ausgefüllte und unterschriebene Checkliste (siehe Anlage 2)</w:t>
      </w:r>
    </w:p>
    <w:p w14:paraId="25FC2B42" w14:textId="77777777" w:rsidR="00692995" w:rsidRDefault="00692995" w:rsidP="00692995">
      <w:pPr>
        <w:pStyle w:val="Listenabsatz"/>
        <w:numPr>
          <w:ilvl w:val="0"/>
          <w:numId w:val="13"/>
        </w:numPr>
      </w:pPr>
      <w:r>
        <w:t>Umfassende Darstellung des Forschun</w:t>
      </w:r>
      <w:r w:rsidR="004A0979">
        <w:t>gsvorhabens (ca. 10-15 Seiten):</w:t>
      </w:r>
    </w:p>
    <w:p w14:paraId="56144E04" w14:textId="77777777" w:rsidR="0034798F" w:rsidRPr="004A0979" w:rsidRDefault="00EC4299" w:rsidP="004A0979">
      <w:pPr>
        <w:ind w:firstLine="360"/>
        <w:jc w:val="both"/>
        <w:rPr>
          <w:rFonts w:asciiTheme="majorHAnsi" w:hAnsiTheme="majorHAnsi"/>
          <w:szCs w:val="24"/>
        </w:rPr>
      </w:pPr>
      <w:r w:rsidRPr="004A0979">
        <w:rPr>
          <w:rFonts w:asciiTheme="majorHAnsi" w:hAnsiTheme="majorHAnsi"/>
          <w:szCs w:val="24"/>
        </w:rPr>
        <w:t>Antragsangaben</w:t>
      </w:r>
      <w:r w:rsidR="00692995" w:rsidRPr="004A0979">
        <w:rPr>
          <w:rFonts w:asciiTheme="majorHAnsi" w:hAnsiTheme="majorHAnsi"/>
          <w:szCs w:val="24"/>
        </w:rPr>
        <w:t>:</w:t>
      </w:r>
    </w:p>
    <w:p w14:paraId="6401D923" w14:textId="77777777" w:rsidR="004A0979" w:rsidRPr="004A0979" w:rsidRDefault="0038262B" w:rsidP="004A0979">
      <w:pPr>
        <w:pStyle w:val="Listenabsatz"/>
        <w:numPr>
          <w:ilvl w:val="0"/>
          <w:numId w:val="9"/>
        </w:numPr>
        <w:rPr>
          <w:rFonts w:asciiTheme="majorHAnsi" w:hAnsiTheme="majorHAnsi"/>
          <w:szCs w:val="24"/>
        </w:rPr>
      </w:pPr>
      <w:r w:rsidRPr="004A0979">
        <w:rPr>
          <w:rFonts w:asciiTheme="majorHAnsi" w:hAnsiTheme="majorHAnsi"/>
          <w:szCs w:val="24"/>
        </w:rPr>
        <w:t>Ziel</w:t>
      </w:r>
      <w:r w:rsidR="000C681C" w:rsidRPr="004A0979">
        <w:rPr>
          <w:rFonts w:asciiTheme="majorHAnsi" w:hAnsiTheme="majorHAnsi"/>
          <w:szCs w:val="24"/>
        </w:rPr>
        <w:t xml:space="preserve"> und Verlaufsplan des Vorhabens;</w:t>
      </w:r>
      <w:r w:rsidR="0034798F" w:rsidRPr="004A0979">
        <w:rPr>
          <w:rFonts w:asciiTheme="majorHAnsi" w:hAnsiTheme="majorHAnsi"/>
          <w:szCs w:val="24"/>
        </w:rPr>
        <w:t xml:space="preserve"> </w:t>
      </w:r>
      <w:r w:rsidR="00692995" w:rsidRPr="004A0979">
        <w:rPr>
          <w:rFonts w:asciiTheme="majorHAnsi" w:hAnsiTheme="majorHAnsi"/>
          <w:szCs w:val="24"/>
        </w:rPr>
        <w:t>w</w:t>
      </w:r>
      <w:r w:rsidR="00692995">
        <w:t>enn das Forschungsvorhaben Teil eines größeren Projekts ist, deren andere Projektteile ebenfalls ein Ethikvotum erfordern, dann soll für das Gesamtpro</w:t>
      </w:r>
      <w:r w:rsidR="004A0979">
        <w:t>jekt ein Antrag gestellt werden;</w:t>
      </w:r>
    </w:p>
    <w:p w14:paraId="35F4089B" w14:textId="77777777" w:rsidR="00EC4299" w:rsidRPr="004A0979" w:rsidRDefault="0038262B" w:rsidP="004A0979">
      <w:pPr>
        <w:pStyle w:val="Listenabsatz"/>
        <w:numPr>
          <w:ilvl w:val="0"/>
          <w:numId w:val="9"/>
        </w:numPr>
        <w:rPr>
          <w:rFonts w:asciiTheme="majorHAnsi" w:hAnsiTheme="majorHAnsi"/>
          <w:szCs w:val="24"/>
        </w:rPr>
      </w:pPr>
      <w:r w:rsidRPr="004A0979">
        <w:rPr>
          <w:rFonts w:asciiTheme="majorHAnsi" w:hAnsiTheme="majorHAnsi"/>
          <w:szCs w:val="24"/>
        </w:rPr>
        <w:t>die Art und Anzahl der Probanden sowie Krit</w:t>
      </w:r>
      <w:r w:rsidR="000C681C" w:rsidRPr="004A0979">
        <w:rPr>
          <w:rFonts w:asciiTheme="majorHAnsi" w:hAnsiTheme="majorHAnsi"/>
          <w:szCs w:val="24"/>
        </w:rPr>
        <w:t xml:space="preserve">erien </w:t>
      </w:r>
      <w:r w:rsidR="00130598" w:rsidRPr="004A0979">
        <w:rPr>
          <w:rFonts w:asciiTheme="majorHAnsi" w:hAnsiTheme="majorHAnsi"/>
          <w:szCs w:val="24"/>
        </w:rPr>
        <w:t>für</w:t>
      </w:r>
      <w:r w:rsidR="000C681C" w:rsidRPr="004A0979">
        <w:rPr>
          <w:rFonts w:asciiTheme="majorHAnsi" w:hAnsiTheme="majorHAnsi"/>
          <w:szCs w:val="24"/>
        </w:rPr>
        <w:t xml:space="preserve"> deren Auswahl;</w:t>
      </w:r>
    </w:p>
    <w:p w14:paraId="6DFAE392" w14:textId="77777777" w:rsidR="00EC4299" w:rsidRPr="00EC4299" w:rsidRDefault="0038262B" w:rsidP="00A01059">
      <w:pPr>
        <w:pStyle w:val="Listenabsatz"/>
        <w:numPr>
          <w:ilvl w:val="0"/>
          <w:numId w:val="9"/>
        </w:numPr>
        <w:jc w:val="both"/>
        <w:rPr>
          <w:rFonts w:asciiTheme="majorHAnsi" w:hAnsiTheme="majorHAnsi"/>
          <w:szCs w:val="24"/>
        </w:rPr>
      </w:pPr>
      <w:r w:rsidRPr="00EC4299">
        <w:rPr>
          <w:rFonts w:asciiTheme="majorHAnsi" w:hAnsiTheme="majorHAnsi"/>
          <w:szCs w:val="24"/>
        </w:rPr>
        <w:t>alle Sc</w:t>
      </w:r>
      <w:r w:rsidR="000C681C">
        <w:rPr>
          <w:rFonts w:asciiTheme="majorHAnsi" w:hAnsiTheme="majorHAnsi"/>
          <w:szCs w:val="24"/>
        </w:rPr>
        <w:t>hritte des Untersuchungsablaufs;</w:t>
      </w:r>
    </w:p>
    <w:p w14:paraId="4CF939E5" w14:textId="77777777" w:rsidR="00EC4299" w:rsidRPr="00EC4299" w:rsidRDefault="0038262B" w:rsidP="00A01059">
      <w:pPr>
        <w:pStyle w:val="Listenabsatz"/>
        <w:numPr>
          <w:ilvl w:val="0"/>
          <w:numId w:val="9"/>
        </w:numPr>
        <w:jc w:val="both"/>
        <w:rPr>
          <w:rFonts w:asciiTheme="majorHAnsi" w:hAnsiTheme="majorHAnsi"/>
          <w:szCs w:val="24"/>
        </w:rPr>
      </w:pPr>
      <w:r w:rsidRPr="00EC4299">
        <w:rPr>
          <w:rFonts w:asciiTheme="majorHAnsi" w:hAnsiTheme="majorHAnsi"/>
          <w:szCs w:val="24"/>
        </w:rPr>
        <w:t xml:space="preserve">Belastungen und Risiken </w:t>
      </w:r>
      <w:r w:rsidR="00130598" w:rsidRPr="00EC4299">
        <w:rPr>
          <w:rFonts w:asciiTheme="majorHAnsi" w:hAnsiTheme="majorHAnsi"/>
          <w:szCs w:val="24"/>
        </w:rPr>
        <w:t>für</w:t>
      </w:r>
      <w:r w:rsidRPr="00EC4299">
        <w:rPr>
          <w:rFonts w:asciiTheme="majorHAnsi" w:hAnsiTheme="majorHAnsi"/>
          <w:szCs w:val="24"/>
        </w:rPr>
        <w:t xml:space="preserve"> Probanden einschließlich möglicher Folgeeffekte und</w:t>
      </w:r>
      <w:r w:rsidR="0034798F" w:rsidRPr="00EC4299">
        <w:rPr>
          <w:rFonts w:asciiTheme="majorHAnsi" w:hAnsiTheme="majorHAnsi"/>
          <w:szCs w:val="24"/>
        </w:rPr>
        <w:t xml:space="preserve"> </w:t>
      </w:r>
      <w:r w:rsidRPr="00EC4299">
        <w:rPr>
          <w:rFonts w:asciiTheme="majorHAnsi" w:hAnsiTheme="majorHAnsi"/>
          <w:szCs w:val="24"/>
        </w:rPr>
        <w:t>Vorkehrun</w:t>
      </w:r>
      <w:r w:rsidR="000C681C">
        <w:rPr>
          <w:rFonts w:asciiTheme="majorHAnsi" w:hAnsiTheme="majorHAnsi"/>
          <w:szCs w:val="24"/>
        </w:rPr>
        <w:t>gen, negative Folgen abzuwenden;</w:t>
      </w:r>
    </w:p>
    <w:p w14:paraId="102EE8BA" w14:textId="77777777" w:rsidR="00EC4299" w:rsidRPr="00EC4299" w:rsidRDefault="0038262B" w:rsidP="00A01059">
      <w:pPr>
        <w:pStyle w:val="Listenabsatz"/>
        <w:numPr>
          <w:ilvl w:val="0"/>
          <w:numId w:val="9"/>
        </w:numPr>
        <w:jc w:val="both"/>
        <w:rPr>
          <w:rFonts w:asciiTheme="majorHAnsi" w:hAnsiTheme="majorHAnsi"/>
          <w:szCs w:val="24"/>
        </w:rPr>
      </w:pPr>
      <w:r w:rsidRPr="00EC4299">
        <w:rPr>
          <w:rFonts w:asciiTheme="majorHAnsi" w:hAnsiTheme="majorHAnsi"/>
          <w:szCs w:val="24"/>
        </w:rPr>
        <w:t xml:space="preserve">Regelungen zur Aufklärung der Probanden </w:t>
      </w:r>
      <w:r w:rsidR="00130598" w:rsidRPr="00EC4299">
        <w:rPr>
          <w:rFonts w:asciiTheme="majorHAnsi" w:hAnsiTheme="majorHAnsi"/>
          <w:szCs w:val="24"/>
        </w:rPr>
        <w:t>über</w:t>
      </w:r>
      <w:r w:rsidRPr="00EC4299">
        <w:rPr>
          <w:rFonts w:asciiTheme="majorHAnsi" w:hAnsiTheme="majorHAnsi"/>
          <w:szCs w:val="24"/>
        </w:rPr>
        <w:t xml:space="preserve"> den Versuchsablauf, die wahrheitsgetreu und </w:t>
      </w:r>
      <w:r w:rsidR="00130598" w:rsidRPr="00EC4299">
        <w:rPr>
          <w:rFonts w:asciiTheme="majorHAnsi" w:hAnsiTheme="majorHAnsi"/>
          <w:szCs w:val="24"/>
        </w:rPr>
        <w:t>für</w:t>
      </w:r>
      <w:r w:rsidRPr="00EC4299">
        <w:rPr>
          <w:rFonts w:asciiTheme="majorHAnsi" w:hAnsiTheme="majorHAnsi"/>
          <w:szCs w:val="24"/>
        </w:rPr>
        <w:t xml:space="preserve"> die Probanden verständlich </w:t>
      </w:r>
      <w:r w:rsidR="00130598" w:rsidRPr="00EC4299">
        <w:rPr>
          <w:rFonts w:asciiTheme="majorHAnsi" w:hAnsiTheme="majorHAnsi"/>
          <w:szCs w:val="24"/>
        </w:rPr>
        <w:t>über</w:t>
      </w:r>
      <w:r w:rsidRPr="00EC4299">
        <w:rPr>
          <w:rFonts w:asciiTheme="majorHAnsi" w:hAnsiTheme="majorHAnsi"/>
          <w:szCs w:val="24"/>
        </w:rPr>
        <w:t xml:space="preserve"> Ziele und Versuchsab</w:t>
      </w:r>
      <w:r w:rsidR="000C681C">
        <w:rPr>
          <w:rFonts w:asciiTheme="majorHAnsi" w:hAnsiTheme="majorHAnsi"/>
          <w:szCs w:val="24"/>
        </w:rPr>
        <w:t>lauf aufklären (in Schriftform);</w:t>
      </w:r>
    </w:p>
    <w:p w14:paraId="72A2D593" w14:textId="77777777" w:rsidR="00EC4299" w:rsidRPr="00EC4299" w:rsidRDefault="0038262B" w:rsidP="00A01059">
      <w:pPr>
        <w:pStyle w:val="Listenabsatz"/>
        <w:numPr>
          <w:ilvl w:val="0"/>
          <w:numId w:val="9"/>
        </w:numPr>
        <w:jc w:val="both"/>
        <w:rPr>
          <w:rFonts w:asciiTheme="majorHAnsi" w:hAnsiTheme="majorHAnsi"/>
          <w:szCs w:val="24"/>
        </w:rPr>
      </w:pPr>
      <w:r w:rsidRPr="00EC4299">
        <w:rPr>
          <w:rFonts w:asciiTheme="majorHAnsi" w:hAnsiTheme="majorHAnsi"/>
          <w:szCs w:val="24"/>
        </w:rPr>
        <w:t>Regelungen zur Einwilligung der Probanden in die Teilnahme an der</w:t>
      </w:r>
      <w:r w:rsidR="0034798F" w:rsidRPr="00EC4299">
        <w:rPr>
          <w:rFonts w:asciiTheme="majorHAnsi" w:hAnsiTheme="majorHAnsi"/>
          <w:szCs w:val="24"/>
        </w:rPr>
        <w:t xml:space="preserve"> </w:t>
      </w:r>
      <w:r w:rsidR="000C681C">
        <w:rPr>
          <w:rFonts w:asciiTheme="majorHAnsi" w:hAnsiTheme="majorHAnsi"/>
          <w:szCs w:val="24"/>
        </w:rPr>
        <w:t>Untersuchung (in Schriftform);</w:t>
      </w:r>
    </w:p>
    <w:p w14:paraId="6BE85678" w14:textId="77777777" w:rsidR="00EC4299" w:rsidRPr="00EC4299" w:rsidRDefault="0038262B" w:rsidP="00A01059">
      <w:pPr>
        <w:pStyle w:val="Listenabsatz"/>
        <w:numPr>
          <w:ilvl w:val="0"/>
          <w:numId w:val="9"/>
        </w:numPr>
        <w:jc w:val="both"/>
        <w:rPr>
          <w:rFonts w:asciiTheme="majorHAnsi" w:hAnsiTheme="majorHAnsi"/>
          <w:szCs w:val="24"/>
        </w:rPr>
      </w:pPr>
      <w:r w:rsidRPr="00EC4299">
        <w:rPr>
          <w:rFonts w:asciiTheme="majorHAnsi" w:hAnsiTheme="majorHAnsi"/>
          <w:szCs w:val="24"/>
        </w:rPr>
        <w:t>Möglichkeiten der Probanden, die Teilnahme abzulehnen oder von ihr</w:t>
      </w:r>
      <w:r w:rsidR="0034798F" w:rsidRPr="00EC4299">
        <w:rPr>
          <w:rFonts w:asciiTheme="majorHAnsi" w:hAnsiTheme="majorHAnsi"/>
          <w:szCs w:val="24"/>
        </w:rPr>
        <w:t xml:space="preserve"> </w:t>
      </w:r>
      <w:r w:rsidR="00130598" w:rsidRPr="00EC4299">
        <w:rPr>
          <w:rFonts w:asciiTheme="majorHAnsi" w:hAnsiTheme="majorHAnsi"/>
          <w:szCs w:val="24"/>
        </w:rPr>
        <w:t>zurückzutreten</w:t>
      </w:r>
      <w:r w:rsidRPr="00EC4299">
        <w:rPr>
          <w:rFonts w:asciiTheme="majorHAnsi" w:hAnsiTheme="majorHAnsi"/>
          <w:szCs w:val="24"/>
        </w:rPr>
        <w:t>, bei Probanden mit begrenzter Entscheidungsmöglichkeit (z.B.</w:t>
      </w:r>
      <w:r w:rsidR="0034798F" w:rsidRPr="00EC4299">
        <w:rPr>
          <w:rFonts w:asciiTheme="majorHAnsi" w:hAnsiTheme="majorHAnsi"/>
          <w:szCs w:val="24"/>
        </w:rPr>
        <w:t xml:space="preserve"> </w:t>
      </w:r>
      <w:r w:rsidRPr="00EC4299">
        <w:rPr>
          <w:rFonts w:asciiTheme="majorHAnsi" w:hAnsiTheme="majorHAnsi"/>
          <w:szCs w:val="24"/>
        </w:rPr>
        <w:t>Kinder, Geschäftsunfähige): Regelung der Zustimmung zur Versuchsteilnahme</w:t>
      </w:r>
      <w:r w:rsidR="0034798F" w:rsidRPr="00EC4299">
        <w:rPr>
          <w:rFonts w:asciiTheme="majorHAnsi" w:hAnsiTheme="majorHAnsi"/>
          <w:szCs w:val="24"/>
        </w:rPr>
        <w:t xml:space="preserve"> </w:t>
      </w:r>
      <w:r w:rsidRPr="00EC4299">
        <w:rPr>
          <w:rFonts w:asciiTheme="majorHAnsi" w:hAnsiTheme="majorHAnsi"/>
          <w:szCs w:val="24"/>
        </w:rPr>
        <w:t>durch Sorgeberechtigte, ggf. v</w:t>
      </w:r>
      <w:r w:rsidR="00AF7924">
        <w:rPr>
          <w:rFonts w:asciiTheme="majorHAnsi" w:hAnsiTheme="majorHAnsi"/>
          <w:szCs w:val="24"/>
        </w:rPr>
        <w:t>orgesehenen Versicherungsschutz;</w:t>
      </w:r>
    </w:p>
    <w:p w14:paraId="4B4A335A" w14:textId="77777777" w:rsidR="0038262B" w:rsidRDefault="0038262B" w:rsidP="00A01059">
      <w:pPr>
        <w:pStyle w:val="Listenabsatz"/>
        <w:numPr>
          <w:ilvl w:val="0"/>
          <w:numId w:val="9"/>
        </w:numPr>
        <w:jc w:val="both"/>
        <w:rPr>
          <w:rFonts w:asciiTheme="majorHAnsi" w:hAnsiTheme="majorHAnsi"/>
          <w:szCs w:val="24"/>
        </w:rPr>
      </w:pPr>
      <w:r w:rsidRPr="00EC4299">
        <w:rPr>
          <w:rFonts w:asciiTheme="majorHAnsi" w:hAnsiTheme="majorHAnsi"/>
          <w:szCs w:val="24"/>
        </w:rPr>
        <w:t>Datenregistrierung (besonders bei Ton- und Videoaufnahmen und bei</w:t>
      </w:r>
      <w:r w:rsidR="0034798F" w:rsidRPr="00EC4299">
        <w:rPr>
          <w:rFonts w:asciiTheme="majorHAnsi" w:hAnsiTheme="majorHAnsi"/>
          <w:szCs w:val="24"/>
        </w:rPr>
        <w:t xml:space="preserve"> </w:t>
      </w:r>
      <w:r w:rsidRPr="00EC4299">
        <w:rPr>
          <w:rFonts w:asciiTheme="majorHAnsi" w:hAnsiTheme="majorHAnsi"/>
          <w:szCs w:val="24"/>
        </w:rPr>
        <w:t>Rechnerprotokollen) und Datenspeicherung unter dem Aspekt der Daten-Anonymisierung.</w:t>
      </w:r>
    </w:p>
    <w:p w14:paraId="78A0E3FA" w14:textId="77777777" w:rsidR="004A643E" w:rsidRPr="004A643E" w:rsidRDefault="004A643E" w:rsidP="004A643E">
      <w:pPr>
        <w:jc w:val="both"/>
        <w:rPr>
          <w:rFonts w:asciiTheme="majorHAnsi" w:hAnsiTheme="majorHAnsi"/>
          <w:szCs w:val="24"/>
        </w:rPr>
      </w:pPr>
      <w:r>
        <w:rPr>
          <w:rFonts w:asciiTheme="majorHAnsi" w:hAnsiTheme="majorHAnsi"/>
          <w:szCs w:val="24"/>
        </w:rPr>
        <w:t>-Ende-</w:t>
      </w:r>
    </w:p>
    <w:sectPr w:rsidR="004A643E" w:rsidRPr="004A643E" w:rsidSect="00A73443">
      <w:foot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22DD" w14:textId="77777777" w:rsidR="00673F2B" w:rsidRDefault="00673F2B" w:rsidP="00EC4299">
      <w:pPr>
        <w:spacing w:after="0" w:line="240" w:lineRule="auto"/>
      </w:pPr>
      <w:r>
        <w:separator/>
      </w:r>
    </w:p>
  </w:endnote>
  <w:endnote w:type="continuationSeparator" w:id="0">
    <w:p w14:paraId="3E8A21EC" w14:textId="77777777" w:rsidR="00673F2B" w:rsidRDefault="00673F2B" w:rsidP="00EC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Zurich BT">
    <w:altName w:val="Zurich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60D3" w14:textId="77777777" w:rsidR="005163D8" w:rsidRDefault="005163D8">
    <w:pPr>
      <w:pStyle w:val="Fuzeile"/>
    </w:pPr>
    <w:r>
      <w:tab/>
    </w:r>
    <w:r w:rsidR="006F0B82">
      <w:rPr>
        <w:rStyle w:val="Seitenzahl"/>
      </w:rPr>
      <w:fldChar w:fldCharType="begin"/>
    </w:r>
    <w:r>
      <w:rPr>
        <w:rStyle w:val="Seitenzahl"/>
      </w:rPr>
      <w:instrText xml:space="preserve"> PAGE </w:instrText>
    </w:r>
    <w:r w:rsidR="006F0B82">
      <w:rPr>
        <w:rStyle w:val="Seitenzahl"/>
      </w:rPr>
      <w:fldChar w:fldCharType="separate"/>
    </w:r>
    <w:r w:rsidR="004A0979">
      <w:rPr>
        <w:rStyle w:val="Seitenzahl"/>
        <w:noProof/>
      </w:rPr>
      <w:t>4</w:t>
    </w:r>
    <w:r w:rsidR="006F0B82">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D752" w14:textId="77777777" w:rsidR="00673F2B" w:rsidRDefault="00673F2B" w:rsidP="00EC4299">
      <w:pPr>
        <w:spacing w:after="0" w:line="240" w:lineRule="auto"/>
      </w:pPr>
      <w:r>
        <w:separator/>
      </w:r>
    </w:p>
  </w:footnote>
  <w:footnote w:type="continuationSeparator" w:id="0">
    <w:p w14:paraId="7DF288B6" w14:textId="77777777" w:rsidR="00673F2B" w:rsidRDefault="00673F2B" w:rsidP="00EC4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BC3"/>
    <w:multiLevelType w:val="hybridMultilevel"/>
    <w:tmpl w:val="BE5415B8"/>
    <w:lvl w:ilvl="0" w:tplc="115C55FC">
      <w:start w:val="1"/>
      <w:numFmt w:val="decimal"/>
      <w:pStyle w:val="Listenabsatz"/>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6A76DFF"/>
    <w:multiLevelType w:val="hybridMultilevel"/>
    <w:tmpl w:val="5CBC3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FA6324"/>
    <w:multiLevelType w:val="hybridMultilevel"/>
    <w:tmpl w:val="678E0D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DC5BD5"/>
    <w:multiLevelType w:val="hybridMultilevel"/>
    <w:tmpl w:val="88C44F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CF006B"/>
    <w:multiLevelType w:val="multilevel"/>
    <w:tmpl w:val="76EA87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2710BA"/>
    <w:multiLevelType w:val="multilevel"/>
    <w:tmpl w:val="CA3CFD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D2B3426"/>
    <w:multiLevelType w:val="hybridMultilevel"/>
    <w:tmpl w:val="A31262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3F27F9"/>
    <w:multiLevelType w:val="multilevel"/>
    <w:tmpl w:val="50E6ED60"/>
    <w:lvl w:ilvl="0">
      <w:start w:val="1"/>
      <w:numFmt w:val="decimal"/>
      <w:lvlText w:val="%1."/>
      <w:lvlJc w:val="left"/>
      <w:pPr>
        <w:ind w:left="0" w:hanging="360"/>
      </w:pPr>
      <w:rPr>
        <w:rFonts w:hint="default"/>
      </w:rPr>
    </w:lvl>
    <w:lvl w:ilvl="1">
      <w:start w:val="1"/>
      <w:numFmt w:val="decimal"/>
      <w:pStyle w:val="berschrift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77060273"/>
    <w:multiLevelType w:val="hybridMultilevel"/>
    <w:tmpl w:val="3604A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5616198">
    <w:abstractNumId w:val="4"/>
  </w:num>
  <w:num w:numId="2" w16cid:durableId="1715156095">
    <w:abstractNumId w:val="4"/>
  </w:num>
  <w:num w:numId="3" w16cid:durableId="2024045236">
    <w:abstractNumId w:val="5"/>
  </w:num>
  <w:num w:numId="4" w16cid:durableId="1864904738">
    <w:abstractNumId w:val="7"/>
  </w:num>
  <w:num w:numId="5" w16cid:durableId="1461454932">
    <w:abstractNumId w:val="7"/>
  </w:num>
  <w:num w:numId="6" w16cid:durableId="1920018284">
    <w:abstractNumId w:val="7"/>
  </w:num>
  <w:num w:numId="7" w16cid:durableId="171182949">
    <w:abstractNumId w:val="0"/>
  </w:num>
  <w:num w:numId="8" w16cid:durableId="1152209202">
    <w:abstractNumId w:val="7"/>
  </w:num>
  <w:num w:numId="9" w16cid:durableId="18049425">
    <w:abstractNumId w:val="3"/>
  </w:num>
  <w:num w:numId="10" w16cid:durableId="1609581888">
    <w:abstractNumId w:val="6"/>
  </w:num>
  <w:num w:numId="11" w16cid:durableId="1603612896">
    <w:abstractNumId w:val="2"/>
  </w:num>
  <w:num w:numId="12" w16cid:durableId="1982342304">
    <w:abstractNumId w:val="0"/>
  </w:num>
  <w:num w:numId="13" w16cid:durableId="814109262">
    <w:abstractNumId w:val="8"/>
  </w:num>
  <w:num w:numId="14" w16cid:durableId="2018144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BE5"/>
    <w:rsid w:val="00007BAE"/>
    <w:rsid w:val="00075F38"/>
    <w:rsid w:val="00093B79"/>
    <w:rsid w:val="000B0086"/>
    <w:rsid w:val="000C681C"/>
    <w:rsid w:val="00116A7B"/>
    <w:rsid w:val="00130598"/>
    <w:rsid w:val="00155457"/>
    <w:rsid w:val="001962AF"/>
    <w:rsid w:val="001A333E"/>
    <w:rsid w:val="001A3E1C"/>
    <w:rsid w:val="001B64B2"/>
    <w:rsid w:val="001E3794"/>
    <w:rsid w:val="00291808"/>
    <w:rsid w:val="00306667"/>
    <w:rsid w:val="00316288"/>
    <w:rsid w:val="0033176E"/>
    <w:rsid w:val="003453B4"/>
    <w:rsid w:val="0034798F"/>
    <w:rsid w:val="0038262B"/>
    <w:rsid w:val="003C09EA"/>
    <w:rsid w:val="003C1BE5"/>
    <w:rsid w:val="003C73A0"/>
    <w:rsid w:val="00405FEF"/>
    <w:rsid w:val="004A0979"/>
    <w:rsid w:val="004A643E"/>
    <w:rsid w:val="004D3200"/>
    <w:rsid w:val="005108AB"/>
    <w:rsid w:val="005163D8"/>
    <w:rsid w:val="00555728"/>
    <w:rsid w:val="005A0AF1"/>
    <w:rsid w:val="006039BD"/>
    <w:rsid w:val="0063243F"/>
    <w:rsid w:val="00634574"/>
    <w:rsid w:val="00650779"/>
    <w:rsid w:val="00673F2B"/>
    <w:rsid w:val="00692995"/>
    <w:rsid w:val="006B3FFD"/>
    <w:rsid w:val="006B49BF"/>
    <w:rsid w:val="006F0B82"/>
    <w:rsid w:val="006F34B4"/>
    <w:rsid w:val="00727036"/>
    <w:rsid w:val="00770869"/>
    <w:rsid w:val="007B16DA"/>
    <w:rsid w:val="007B60F7"/>
    <w:rsid w:val="0083175E"/>
    <w:rsid w:val="00842737"/>
    <w:rsid w:val="008A1E70"/>
    <w:rsid w:val="008C7D9F"/>
    <w:rsid w:val="00910179"/>
    <w:rsid w:val="009C68BB"/>
    <w:rsid w:val="009F71A4"/>
    <w:rsid w:val="00A01059"/>
    <w:rsid w:val="00A67409"/>
    <w:rsid w:val="00A73443"/>
    <w:rsid w:val="00A867D1"/>
    <w:rsid w:val="00AA59DC"/>
    <w:rsid w:val="00AF7924"/>
    <w:rsid w:val="00B66974"/>
    <w:rsid w:val="00BA2B35"/>
    <w:rsid w:val="00BA66C8"/>
    <w:rsid w:val="00BC5F2F"/>
    <w:rsid w:val="00BF51DC"/>
    <w:rsid w:val="00C0075F"/>
    <w:rsid w:val="00C12E2E"/>
    <w:rsid w:val="00C553B3"/>
    <w:rsid w:val="00C6725E"/>
    <w:rsid w:val="00C91EB6"/>
    <w:rsid w:val="00CB629E"/>
    <w:rsid w:val="00CD42B9"/>
    <w:rsid w:val="00CF74BA"/>
    <w:rsid w:val="00D44B31"/>
    <w:rsid w:val="00D52A4D"/>
    <w:rsid w:val="00D73C0B"/>
    <w:rsid w:val="00DA7EBA"/>
    <w:rsid w:val="00DB121E"/>
    <w:rsid w:val="00DE1608"/>
    <w:rsid w:val="00E204B5"/>
    <w:rsid w:val="00E61600"/>
    <w:rsid w:val="00EC4299"/>
    <w:rsid w:val="00ED1735"/>
    <w:rsid w:val="00F054D1"/>
    <w:rsid w:val="00F16154"/>
    <w:rsid w:val="00F30A8C"/>
    <w:rsid w:val="00F367A2"/>
    <w:rsid w:val="00F74C4C"/>
    <w:rsid w:val="00FC028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73E0AD"/>
  <w15:docId w15:val="{16CAFEE1-FEA7-4646-9F85-3AC3728E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AF1"/>
    <w:pPr>
      <w:spacing w:after="240" w:line="240" w:lineRule="atLeast"/>
    </w:pPr>
    <w:rPr>
      <w:rFonts w:ascii="Calibri" w:eastAsia="Times New Roman" w:hAnsi="Calibri" w:cs="Times New Roman"/>
      <w:szCs w:val="20"/>
      <w:lang w:eastAsia="de-DE"/>
    </w:rPr>
  </w:style>
  <w:style w:type="paragraph" w:styleId="berschrift1">
    <w:name w:val="heading 1"/>
    <w:basedOn w:val="Standard"/>
    <w:next w:val="Standard"/>
    <w:link w:val="berschrift1Zchn"/>
    <w:autoRedefine/>
    <w:uiPriority w:val="9"/>
    <w:qFormat/>
    <w:rsid w:val="005A0AF1"/>
    <w:pPr>
      <w:keepNext/>
      <w:keepLines/>
      <w:pBdr>
        <w:bottom w:val="single" w:sz="18" w:space="1" w:color="4F81BD" w:themeColor="accent1"/>
      </w:pBdr>
      <w:spacing w:before="240"/>
      <w:outlineLvl w:val="0"/>
    </w:pPr>
    <w:rPr>
      <w:rFonts w:eastAsiaTheme="majorEastAsia" w:cstheme="majorBidi"/>
      <w:color w:val="4F81BD" w:themeColor="accent1"/>
      <w:szCs w:val="28"/>
      <w:lang w:eastAsia="en-US"/>
    </w:rPr>
  </w:style>
  <w:style w:type="paragraph" w:styleId="berschrift2">
    <w:name w:val="heading 2"/>
    <w:basedOn w:val="Standard"/>
    <w:next w:val="Standard"/>
    <w:link w:val="berschrift2Zchn"/>
    <w:unhideWhenUsed/>
    <w:qFormat/>
    <w:rsid w:val="005A0AF1"/>
    <w:pPr>
      <w:keepNext/>
      <w:keepLines/>
      <w:numPr>
        <w:ilvl w:val="1"/>
        <w:numId w:val="4"/>
      </w:numPr>
      <w:outlineLvl w:val="1"/>
    </w:pPr>
    <w:rPr>
      <w:rFonts w:eastAsiaTheme="majorEastAsia" w:cstheme="majorBidi"/>
      <w:bCs/>
      <w:color w:val="4F81BD" w:themeColor="accent1"/>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Aktuell">
    <w:name w:val="Table Contemporary"/>
    <w:basedOn w:val="NormaleTabelle"/>
    <w:rsid w:val="00BF51DC"/>
    <w:pPr>
      <w:keepLines/>
      <w:spacing w:after="240" w:line="240" w:lineRule="atLeast"/>
      <w:contextualSpacing/>
    </w:pPr>
    <w:rPr>
      <w:rFonts w:ascii="Cambria" w:eastAsia="Cambria" w:hAnsi="Cambria"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Verzeichnis1">
    <w:name w:val="toc 1"/>
    <w:basedOn w:val="Standard"/>
    <w:next w:val="Standard"/>
    <w:autoRedefine/>
    <w:uiPriority w:val="39"/>
    <w:rsid w:val="00D52A4D"/>
    <w:pPr>
      <w:spacing w:before="120" w:after="0"/>
    </w:pPr>
    <w:rPr>
      <w:rFonts w:eastAsia="MS Mincho"/>
      <w:b/>
      <w:color w:val="000000" w:themeColor="text1"/>
    </w:rPr>
  </w:style>
  <w:style w:type="paragraph" w:styleId="Funotentext">
    <w:name w:val="footnote text"/>
    <w:basedOn w:val="Standard"/>
    <w:link w:val="FunotentextZchn"/>
    <w:rsid w:val="008C7D9F"/>
    <w:pPr>
      <w:tabs>
        <w:tab w:val="left" w:pos="567"/>
      </w:tabs>
      <w:spacing w:after="0" w:line="240" w:lineRule="auto"/>
      <w:ind w:left="567" w:hanging="567"/>
    </w:pPr>
    <w:rPr>
      <w:sz w:val="20"/>
    </w:rPr>
  </w:style>
  <w:style w:type="character" w:customStyle="1" w:styleId="FunotentextZchn">
    <w:name w:val="Fußnotentext Zchn"/>
    <w:basedOn w:val="Absatz-Standardschriftart"/>
    <w:link w:val="Funotentext"/>
    <w:rsid w:val="008C7D9F"/>
    <w:rPr>
      <w:rFonts w:asciiTheme="majorHAnsi" w:hAnsiTheme="majorHAnsi"/>
      <w:sz w:val="20"/>
    </w:rPr>
  </w:style>
  <w:style w:type="character" w:customStyle="1" w:styleId="berschrift1Zchn">
    <w:name w:val="Überschrift 1 Zchn"/>
    <w:basedOn w:val="Absatz-Standardschriftart"/>
    <w:link w:val="berschrift1"/>
    <w:uiPriority w:val="9"/>
    <w:rsid w:val="005A0AF1"/>
    <w:rPr>
      <w:rFonts w:asciiTheme="majorHAnsi" w:eastAsiaTheme="majorEastAsia" w:hAnsiTheme="majorHAnsi" w:cstheme="majorBidi"/>
      <w:color w:val="4F81BD" w:themeColor="accent1"/>
      <w:szCs w:val="28"/>
      <w:lang w:eastAsia="en-US"/>
    </w:rPr>
  </w:style>
  <w:style w:type="paragraph" w:styleId="Titel">
    <w:name w:val="Title"/>
    <w:basedOn w:val="Standard"/>
    <w:next w:val="Standard"/>
    <w:link w:val="TitelZchn"/>
    <w:uiPriority w:val="10"/>
    <w:qFormat/>
    <w:rsid w:val="008C7D9F"/>
    <w:pPr>
      <w:pBdr>
        <w:bottom w:val="single" w:sz="24" w:space="4" w:color="4F81BD" w:themeColor="accent1"/>
      </w:pBdr>
      <w:spacing w:after="300" w:line="240" w:lineRule="auto"/>
      <w:contextualSpacing/>
    </w:pPr>
    <w:rPr>
      <w:rFonts w:eastAsiaTheme="majorEastAsia" w:cstheme="majorBidi"/>
      <w:color w:val="4F81BD" w:themeColor="accent1"/>
      <w:spacing w:val="5"/>
      <w:kern w:val="28"/>
      <w:sz w:val="32"/>
      <w:szCs w:val="52"/>
    </w:rPr>
  </w:style>
  <w:style w:type="character" w:customStyle="1" w:styleId="TitelZchn">
    <w:name w:val="Titel Zchn"/>
    <w:basedOn w:val="Absatz-Standardschriftart"/>
    <w:link w:val="Titel"/>
    <w:uiPriority w:val="10"/>
    <w:rsid w:val="008C7D9F"/>
    <w:rPr>
      <w:rFonts w:asciiTheme="majorHAnsi" w:eastAsiaTheme="majorEastAsia" w:hAnsiTheme="majorHAnsi" w:cstheme="majorBidi"/>
      <w:color w:val="4F81BD" w:themeColor="accent1"/>
      <w:spacing w:val="5"/>
      <w:kern w:val="28"/>
      <w:sz w:val="32"/>
      <w:szCs w:val="52"/>
    </w:rPr>
  </w:style>
  <w:style w:type="paragraph" w:customStyle="1" w:styleId="Autor">
    <w:name w:val="Autor"/>
    <w:basedOn w:val="Standard"/>
    <w:qFormat/>
    <w:rsid w:val="008C7D9F"/>
    <w:rPr>
      <w:b/>
      <w:sz w:val="28"/>
    </w:rPr>
  </w:style>
  <w:style w:type="character" w:customStyle="1" w:styleId="berschrift2Zchn">
    <w:name w:val="Überschrift 2 Zchn"/>
    <w:basedOn w:val="Absatz-Standardschriftart"/>
    <w:link w:val="berschrift2"/>
    <w:rsid w:val="005A0AF1"/>
    <w:rPr>
      <w:rFonts w:ascii="Calibri" w:eastAsiaTheme="majorEastAsia" w:hAnsi="Calibri" w:cstheme="majorBidi"/>
      <w:bCs/>
      <w:color w:val="4F81BD" w:themeColor="accent1"/>
      <w:szCs w:val="26"/>
      <w:lang w:eastAsia="en-US"/>
    </w:rPr>
  </w:style>
  <w:style w:type="paragraph" w:styleId="Beschriftung">
    <w:name w:val="caption"/>
    <w:basedOn w:val="Standard"/>
    <w:next w:val="Standard"/>
    <w:autoRedefine/>
    <w:uiPriority w:val="35"/>
    <w:unhideWhenUsed/>
    <w:qFormat/>
    <w:rsid w:val="00075F38"/>
    <w:pPr>
      <w:keepNext/>
      <w:keepLines/>
      <w:suppressAutoHyphens/>
      <w:spacing w:after="200" w:line="240" w:lineRule="auto"/>
    </w:pPr>
    <w:rPr>
      <w:bCs/>
      <w:color w:val="4F81BD" w:themeColor="accent1"/>
      <w:szCs w:val="18"/>
    </w:rPr>
  </w:style>
  <w:style w:type="paragraph" w:styleId="Sprechblasentext">
    <w:name w:val="Balloon Text"/>
    <w:basedOn w:val="Standard"/>
    <w:link w:val="SprechblasentextZchn"/>
    <w:uiPriority w:val="99"/>
    <w:semiHidden/>
    <w:unhideWhenUsed/>
    <w:rsid w:val="001A3E1C"/>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A3E1C"/>
    <w:rPr>
      <w:rFonts w:ascii="Lucida Grande" w:eastAsia="Calibri" w:hAnsi="Lucida Grande" w:cs="Lucida Grande"/>
      <w:sz w:val="18"/>
      <w:szCs w:val="18"/>
      <w:lang w:eastAsia="en-US"/>
    </w:rPr>
  </w:style>
  <w:style w:type="paragraph" w:customStyle="1" w:styleId="Zitateinzge">
    <w:name w:val="Zitateinzüge"/>
    <w:basedOn w:val="Standard"/>
    <w:qFormat/>
    <w:rsid w:val="00405FEF"/>
    <w:pPr>
      <w:ind w:left="709"/>
    </w:pPr>
    <w:rPr>
      <w:i/>
    </w:rPr>
  </w:style>
  <w:style w:type="paragraph" w:customStyle="1" w:styleId="Zwischenberschrift">
    <w:name w:val="Zwischenüberschrift"/>
    <w:basedOn w:val="Standard"/>
    <w:autoRedefine/>
    <w:qFormat/>
    <w:rsid w:val="00405FEF"/>
    <w:rPr>
      <w:u w:val="single"/>
    </w:rPr>
  </w:style>
  <w:style w:type="paragraph" w:styleId="Listenabsatz">
    <w:name w:val="List Paragraph"/>
    <w:basedOn w:val="Standard"/>
    <w:uiPriority w:val="34"/>
    <w:qFormat/>
    <w:rsid w:val="005A0AF1"/>
    <w:pPr>
      <w:numPr>
        <w:numId w:val="7"/>
      </w:numPr>
      <w:contextualSpacing/>
    </w:pPr>
    <w:rPr>
      <w:rFonts w:eastAsia="Calibri"/>
      <w:szCs w:val="22"/>
      <w:lang w:eastAsia="en-US"/>
    </w:rPr>
  </w:style>
  <w:style w:type="table" w:styleId="MittlereSchattierung1">
    <w:name w:val="Medium Shading 1"/>
    <w:basedOn w:val="NormaleTabelle"/>
    <w:uiPriority w:val="63"/>
    <w:rsid w:val="005A0AF1"/>
    <w:pPr>
      <w:keepNext/>
      <w:keepLines/>
      <w:spacing w:before="12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Default">
    <w:name w:val="Default"/>
    <w:rsid w:val="003C1BE5"/>
    <w:pPr>
      <w:widowControl w:val="0"/>
      <w:autoSpaceDE w:val="0"/>
      <w:autoSpaceDN w:val="0"/>
      <w:adjustRightInd w:val="0"/>
      <w:spacing w:after="0"/>
    </w:pPr>
    <w:rPr>
      <w:rFonts w:ascii="Zurich BT" w:hAnsi="Zurich BT" w:cs="Zurich BT"/>
      <w:color w:val="000000"/>
    </w:rPr>
  </w:style>
  <w:style w:type="paragraph" w:styleId="Kopfzeile">
    <w:name w:val="header"/>
    <w:basedOn w:val="Standard"/>
    <w:link w:val="KopfzeileZchn"/>
    <w:uiPriority w:val="99"/>
    <w:unhideWhenUsed/>
    <w:rsid w:val="00EC4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299"/>
    <w:rPr>
      <w:rFonts w:ascii="Calibri" w:eastAsia="Times New Roman" w:hAnsi="Calibri" w:cs="Times New Roman"/>
      <w:szCs w:val="20"/>
      <w:lang w:eastAsia="de-DE"/>
    </w:rPr>
  </w:style>
  <w:style w:type="paragraph" w:styleId="Fuzeile">
    <w:name w:val="footer"/>
    <w:basedOn w:val="Standard"/>
    <w:link w:val="FuzeileZchn"/>
    <w:uiPriority w:val="99"/>
    <w:unhideWhenUsed/>
    <w:rsid w:val="00EC4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4299"/>
    <w:rPr>
      <w:rFonts w:ascii="Calibri" w:eastAsia="Times New Roman" w:hAnsi="Calibri" w:cs="Times New Roman"/>
      <w:szCs w:val="20"/>
      <w:lang w:eastAsia="de-DE"/>
    </w:rPr>
  </w:style>
  <w:style w:type="character" w:styleId="Seitenzahl">
    <w:name w:val="page number"/>
    <w:basedOn w:val="Absatz-Standardschriftart"/>
    <w:uiPriority w:val="99"/>
    <w:semiHidden/>
    <w:unhideWhenUsed/>
    <w:rsid w:val="00EC4299"/>
  </w:style>
  <w:style w:type="character" w:customStyle="1" w:styleId="s8">
    <w:name w:val="s8"/>
    <w:basedOn w:val="Absatz-Standardschriftart"/>
    <w:rsid w:val="00DA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8547">
      <w:bodyDiv w:val="1"/>
      <w:marLeft w:val="0"/>
      <w:marRight w:val="0"/>
      <w:marTop w:val="0"/>
      <w:marBottom w:val="0"/>
      <w:divBdr>
        <w:top w:val="none" w:sz="0" w:space="0" w:color="auto"/>
        <w:left w:val="none" w:sz="0" w:space="0" w:color="auto"/>
        <w:bottom w:val="none" w:sz="0" w:space="0" w:color="auto"/>
        <w:right w:val="none" w:sz="0" w:space="0" w:color="auto"/>
      </w:divBdr>
    </w:div>
    <w:div w:id="763376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1430</Words>
  <Characters>9015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University of Mainz</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Aufenanger</dc:creator>
  <cp:lastModifiedBy>Tittel, Laura</cp:lastModifiedBy>
  <cp:revision>3</cp:revision>
  <cp:lastPrinted>2015-07-27T11:35:00Z</cp:lastPrinted>
  <dcterms:created xsi:type="dcterms:W3CDTF">2022-08-24T07:47:00Z</dcterms:created>
  <dcterms:modified xsi:type="dcterms:W3CDTF">2022-08-24T07:49:00Z</dcterms:modified>
</cp:coreProperties>
</file>